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C4" w:rsidRDefault="00416DC4">
      <w:pPr>
        <w:jc w:val="both"/>
        <w:rPr>
          <w:rFonts w:ascii="ArialMT" w:eastAsia="ArialMT" w:hAnsi="ArialMT" w:cs="ArialMT"/>
        </w:rPr>
      </w:pPr>
    </w:p>
    <w:p w:rsidR="00416DC4" w:rsidRDefault="00416DC4">
      <w:pPr>
        <w:jc w:val="both"/>
        <w:rPr>
          <w:rFonts w:ascii="ArialMT" w:eastAsia="ArialMT" w:hAnsi="ArialMT" w:cs="ArialMT"/>
        </w:rPr>
      </w:pPr>
    </w:p>
    <w:p w:rsidR="00416DC4" w:rsidRDefault="00416DC4">
      <w:pPr>
        <w:jc w:val="both"/>
        <w:rPr>
          <w:rFonts w:ascii="ArialMT" w:eastAsia="ArialMT" w:hAnsi="ArialMT" w:cs="ArialMT"/>
        </w:rPr>
      </w:pPr>
    </w:p>
    <w:p w:rsidR="009B547E" w:rsidRDefault="009B547E" w:rsidP="009B547E">
      <w:pPr>
        <w:rPr>
          <w:rFonts w:ascii="ArialMT" w:eastAsia="ArialMT" w:hAnsi="ArialMT" w:cs="ArialMT"/>
        </w:rPr>
      </w:pPr>
    </w:p>
    <w:p w:rsidR="009B547E" w:rsidRDefault="009B547E" w:rsidP="009B547E">
      <w:pPr>
        <w:rPr>
          <w:lang w:val="es-ES_tradnl"/>
        </w:rPr>
      </w:pPr>
    </w:p>
    <w:p w:rsidR="009B547E" w:rsidRDefault="009B547E" w:rsidP="009B547E">
      <w:pPr>
        <w:rPr>
          <w:lang w:val="es-ES_tradnl"/>
        </w:rPr>
      </w:pPr>
    </w:p>
    <w:p w:rsidR="009B547E" w:rsidRDefault="009B547E" w:rsidP="009B547E">
      <w:pPr>
        <w:rPr>
          <w:lang w:val="es-ES_tradnl"/>
        </w:rPr>
      </w:pPr>
    </w:p>
    <w:p w:rsidR="009B547E" w:rsidRDefault="009B547E" w:rsidP="009B547E">
      <w:pPr>
        <w:rPr>
          <w:lang w:val="es-ES_tradnl"/>
        </w:rPr>
      </w:pPr>
    </w:p>
    <w:p w:rsidR="009B547E" w:rsidRDefault="009B547E" w:rsidP="009B547E">
      <w:pPr>
        <w:rPr>
          <w:lang w:val="es-ES_tradnl"/>
        </w:rPr>
      </w:pPr>
    </w:p>
    <w:p w:rsidR="009B547E" w:rsidRPr="00A71AC6" w:rsidRDefault="009B547E" w:rsidP="009B547E">
      <w:pPr>
        <w:rPr>
          <w:lang w:val="es-ES_tradnl"/>
        </w:rPr>
      </w:pPr>
      <w:r w:rsidRPr="00A71AC6">
        <w:rPr>
          <w:lang w:val="es-ES_tradnl"/>
        </w:rPr>
        <w:t>Bogotá D.C., 21 de octubre de 2022</w:t>
      </w:r>
    </w:p>
    <w:p w:rsidR="009B547E" w:rsidRPr="00A71AC6" w:rsidRDefault="009B547E" w:rsidP="009B547E">
      <w:pPr>
        <w:rPr>
          <w:lang w:val="es-ES_tradnl"/>
        </w:rPr>
      </w:pPr>
    </w:p>
    <w:p w:rsidR="009B547E" w:rsidRPr="00A71AC6" w:rsidRDefault="009B547E" w:rsidP="009B547E">
      <w:pPr>
        <w:rPr>
          <w:lang w:val="es-ES_tradnl"/>
        </w:rPr>
      </w:pPr>
    </w:p>
    <w:p w:rsidR="009B547E" w:rsidRPr="00A71AC6" w:rsidRDefault="009B547E" w:rsidP="009B547E">
      <w:pPr>
        <w:rPr>
          <w:lang w:val="es-ES_tradnl"/>
        </w:rPr>
      </w:pPr>
      <w:r w:rsidRPr="00A71AC6">
        <w:rPr>
          <w:lang w:val="es-ES_tradnl"/>
        </w:rPr>
        <w:t>Honorable Representante</w:t>
      </w:r>
    </w:p>
    <w:p w:rsidR="009B547E" w:rsidRPr="00A71AC6" w:rsidRDefault="009B547E" w:rsidP="009B547E">
      <w:pPr>
        <w:rPr>
          <w:b/>
          <w:bCs/>
          <w:lang w:val="es-ES_tradnl"/>
        </w:rPr>
      </w:pPr>
      <w:r w:rsidRPr="00A71AC6">
        <w:rPr>
          <w:b/>
          <w:bCs/>
          <w:lang w:val="es-ES_tradnl"/>
        </w:rPr>
        <w:t>DAVID RICARDO RACERO MAYORCA</w:t>
      </w:r>
    </w:p>
    <w:p w:rsidR="009B547E" w:rsidRPr="00A71AC6" w:rsidRDefault="009B547E" w:rsidP="009B547E">
      <w:pPr>
        <w:rPr>
          <w:lang w:val="es-ES_tradnl"/>
        </w:rPr>
      </w:pPr>
      <w:r w:rsidRPr="00A71AC6">
        <w:rPr>
          <w:lang w:val="es-ES_tradnl"/>
        </w:rPr>
        <w:t>Presidente</w:t>
      </w:r>
    </w:p>
    <w:p w:rsidR="009B547E" w:rsidRPr="00A71AC6" w:rsidRDefault="009B547E" w:rsidP="009B547E">
      <w:pPr>
        <w:rPr>
          <w:lang w:val="es-ES_tradnl"/>
        </w:rPr>
      </w:pPr>
      <w:r w:rsidRPr="00A71AC6">
        <w:rPr>
          <w:lang w:val="es-ES_tradnl"/>
        </w:rPr>
        <w:t>Cámara de Representantes</w:t>
      </w:r>
    </w:p>
    <w:p w:rsidR="009B547E" w:rsidRPr="00A71AC6" w:rsidRDefault="009B547E" w:rsidP="009B547E">
      <w:pPr>
        <w:rPr>
          <w:lang w:val="es-ES_tradnl"/>
        </w:rPr>
      </w:pPr>
      <w:r w:rsidRPr="00A71AC6">
        <w:rPr>
          <w:lang w:val="es-ES_tradnl"/>
        </w:rPr>
        <w:t>Ciudad</w:t>
      </w:r>
    </w:p>
    <w:p w:rsidR="009B547E" w:rsidRPr="00A71AC6" w:rsidRDefault="009B547E" w:rsidP="009B547E">
      <w:pPr>
        <w:rPr>
          <w:lang w:val="es-ES_tradnl"/>
        </w:rPr>
      </w:pPr>
    </w:p>
    <w:p w:rsidR="009B547E" w:rsidRPr="00A71AC6" w:rsidRDefault="009B547E" w:rsidP="009B547E">
      <w:pPr>
        <w:rPr>
          <w:lang w:val="es-ES_tradnl"/>
        </w:rPr>
      </w:pPr>
    </w:p>
    <w:p w:rsidR="009B547E" w:rsidRPr="00A71AC6" w:rsidRDefault="009B547E" w:rsidP="009B547E">
      <w:pPr>
        <w:jc w:val="both"/>
        <w:rPr>
          <w:b/>
          <w:bCs/>
          <w:lang w:val="es-ES_tradnl"/>
        </w:rPr>
      </w:pPr>
      <w:r w:rsidRPr="00A71AC6">
        <w:rPr>
          <w:b/>
          <w:bCs/>
          <w:lang w:val="es-ES_tradnl"/>
        </w:rPr>
        <w:t>REF</w:t>
      </w:r>
      <w:bookmarkStart w:id="0" w:name="_GoBack"/>
      <w:r w:rsidRPr="00A71AC6">
        <w:rPr>
          <w:b/>
          <w:bCs/>
          <w:lang w:val="es-ES_tradnl"/>
        </w:rPr>
        <w:t xml:space="preserve">: Informe de ponencia para </w:t>
      </w:r>
      <w:r>
        <w:rPr>
          <w:b/>
          <w:bCs/>
          <w:lang w:val="es-ES_tradnl"/>
        </w:rPr>
        <w:t>segundo</w:t>
      </w:r>
      <w:r w:rsidRPr="00A71AC6">
        <w:rPr>
          <w:b/>
          <w:bCs/>
          <w:lang w:val="es-ES_tradnl"/>
        </w:rPr>
        <w:t xml:space="preserve"> debate </w:t>
      </w:r>
      <w:bookmarkEnd w:id="0"/>
      <w:r>
        <w:rPr>
          <w:b/>
          <w:bCs/>
          <w:lang w:val="es-ES_tradnl"/>
        </w:rPr>
        <w:t xml:space="preserve">del </w:t>
      </w:r>
      <w:r w:rsidRPr="00A71AC6">
        <w:rPr>
          <w:b/>
          <w:bCs/>
          <w:lang w:val="es-ES_tradnl"/>
        </w:rPr>
        <w:t>Proyecto de Acto Legislativo Nº 185 de 2022 Cámara -Primera Vuelta- “Por el cual se otorga al municipio de Manizales (Caldas) la categoría de Distrito Especial -Eje del conocimiento</w:t>
      </w:r>
      <w:r>
        <w:rPr>
          <w:b/>
          <w:bCs/>
          <w:lang w:val="es-ES_tradnl"/>
        </w:rPr>
        <w:t>-”</w:t>
      </w:r>
    </w:p>
    <w:p w:rsidR="009B547E" w:rsidRPr="00A71AC6" w:rsidRDefault="009B547E" w:rsidP="009B547E">
      <w:pPr>
        <w:rPr>
          <w:lang w:val="es-ES_tradnl"/>
        </w:rPr>
      </w:pPr>
    </w:p>
    <w:p w:rsidR="009B547E" w:rsidRPr="00A71AC6" w:rsidRDefault="009B547E" w:rsidP="009B547E">
      <w:pPr>
        <w:rPr>
          <w:lang w:val="es-ES_tradnl"/>
        </w:rPr>
      </w:pPr>
    </w:p>
    <w:p w:rsidR="009B547E" w:rsidRPr="00A71AC6" w:rsidRDefault="009B547E" w:rsidP="009B547E">
      <w:pPr>
        <w:rPr>
          <w:lang w:val="es-ES_tradnl"/>
        </w:rPr>
      </w:pPr>
      <w:r w:rsidRPr="00A71AC6">
        <w:rPr>
          <w:lang w:val="es-ES_tradnl"/>
        </w:rPr>
        <w:t>Respetado Presidente,</w:t>
      </w:r>
    </w:p>
    <w:p w:rsidR="009B547E" w:rsidRPr="00A71AC6" w:rsidRDefault="009B547E" w:rsidP="009B547E">
      <w:pPr>
        <w:rPr>
          <w:lang w:val="es-ES_tradnl"/>
        </w:rPr>
      </w:pPr>
    </w:p>
    <w:p w:rsidR="009B547E" w:rsidRPr="00A71AC6" w:rsidRDefault="009B547E" w:rsidP="009B547E">
      <w:pPr>
        <w:rPr>
          <w:lang w:val="es-ES_tradnl"/>
        </w:rPr>
      </w:pPr>
    </w:p>
    <w:p w:rsidR="009B547E" w:rsidRPr="00A71AC6" w:rsidRDefault="009B547E" w:rsidP="009B547E">
      <w:pPr>
        <w:jc w:val="both"/>
        <w:rPr>
          <w:lang w:val="es-ES_tradnl"/>
        </w:rPr>
      </w:pPr>
      <w:r w:rsidRPr="00A71AC6">
        <w:rPr>
          <w:lang w:val="es-ES_tradnl"/>
        </w:rPr>
        <w:t xml:space="preserve">Atendiendo la designación </w:t>
      </w:r>
      <w:r>
        <w:rPr>
          <w:lang w:val="es-ES_tradnl"/>
        </w:rPr>
        <w:t>de</w:t>
      </w:r>
      <w:r w:rsidRPr="00A71AC6">
        <w:rPr>
          <w:lang w:val="es-ES_tradnl"/>
        </w:rPr>
        <w:t xml:space="preserve"> la Mesa Directiva de la Comisión Primera Constitucional permanente de la Cámara de Representantes y de conformidad con lo dispuesto en la Constitución Política y en la Ley 5ª de 1992, rindo informe de ponencia </w:t>
      </w:r>
      <w:r>
        <w:rPr>
          <w:lang w:val="es-ES_tradnl"/>
        </w:rPr>
        <w:t xml:space="preserve">positiva </w:t>
      </w:r>
      <w:r w:rsidRPr="00A71AC6">
        <w:rPr>
          <w:lang w:val="es-ES_tradnl"/>
        </w:rPr>
        <w:t xml:space="preserve">para </w:t>
      </w:r>
      <w:r>
        <w:rPr>
          <w:lang w:val="es-ES_tradnl"/>
        </w:rPr>
        <w:t>segundo</w:t>
      </w:r>
      <w:r w:rsidRPr="00A71AC6">
        <w:rPr>
          <w:lang w:val="es-ES_tradnl"/>
        </w:rPr>
        <w:t xml:space="preserve"> debate del proyecto de la referencia.</w:t>
      </w: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Firma el Honorable Representante,</w:t>
      </w: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r>
        <w:rPr>
          <w:lang w:val="es-ES_tradnl"/>
        </w:rPr>
        <w:t>_____________________________________________</w:t>
      </w:r>
    </w:p>
    <w:p w:rsidR="00917197" w:rsidRPr="00A71AC6" w:rsidRDefault="00917197" w:rsidP="00917197">
      <w:pPr>
        <w:jc w:val="both"/>
        <w:rPr>
          <w:b/>
          <w:bCs/>
          <w:lang w:val="es-ES_tradnl"/>
        </w:rPr>
      </w:pPr>
      <w:r>
        <w:rPr>
          <w:b/>
          <w:bCs/>
          <w:lang w:val="es-ES_tradnl"/>
        </w:rPr>
        <w:t>JUA</w:t>
      </w:r>
      <w:r w:rsidRPr="00A71AC6">
        <w:rPr>
          <w:b/>
          <w:bCs/>
          <w:lang w:val="es-ES_tradnl"/>
        </w:rPr>
        <w:t>N SEBA</w:t>
      </w:r>
      <w:r>
        <w:rPr>
          <w:b/>
          <w:bCs/>
          <w:lang w:val="es-ES_tradnl"/>
        </w:rPr>
        <w:t>STIÁN GÓ</w:t>
      </w:r>
      <w:r w:rsidRPr="00A71AC6">
        <w:rPr>
          <w:b/>
          <w:bCs/>
          <w:lang w:val="es-ES_tradnl"/>
        </w:rPr>
        <w:t>MEZ</w:t>
      </w:r>
      <w:r>
        <w:rPr>
          <w:b/>
          <w:bCs/>
          <w:lang w:val="es-ES_tradnl"/>
        </w:rPr>
        <w:t xml:space="preserve"> GONZALES</w:t>
      </w:r>
    </w:p>
    <w:p w:rsidR="009B547E" w:rsidRDefault="009B547E" w:rsidP="009B547E">
      <w:pPr>
        <w:jc w:val="both"/>
        <w:rPr>
          <w:lang w:val="es-ES_tradnl"/>
        </w:rPr>
      </w:pPr>
      <w:r w:rsidRPr="00A71AC6">
        <w:rPr>
          <w:lang w:val="es-ES_tradnl"/>
        </w:rPr>
        <w:t>PONENTE</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center"/>
        <w:rPr>
          <w:b/>
          <w:bCs/>
          <w:lang w:val="es-ES_tradnl"/>
        </w:rPr>
      </w:pPr>
    </w:p>
    <w:p w:rsidR="009B547E" w:rsidRDefault="009B547E" w:rsidP="009B547E">
      <w:pPr>
        <w:jc w:val="center"/>
        <w:rPr>
          <w:b/>
          <w:bCs/>
          <w:lang w:val="es-ES_tradnl"/>
        </w:rPr>
      </w:pPr>
    </w:p>
    <w:p w:rsidR="009B547E" w:rsidRDefault="009B547E" w:rsidP="009B547E">
      <w:pPr>
        <w:jc w:val="center"/>
        <w:rPr>
          <w:b/>
          <w:bCs/>
          <w:lang w:val="es-ES_tradnl"/>
        </w:rPr>
      </w:pPr>
    </w:p>
    <w:p w:rsidR="009B547E" w:rsidRDefault="009B547E" w:rsidP="009B547E">
      <w:pPr>
        <w:jc w:val="center"/>
        <w:rPr>
          <w:b/>
          <w:bCs/>
          <w:lang w:val="es-ES_tradnl"/>
        </w:rPr>
      </w:pPr>
    </w:p>
    <w:p w:rsidR="009B547E" w:rsidRDefault="009B547E" w:rsidP="009B547E">
      <w:pPr>
        <w:jc w:val="center"/>
        <w:rPr>
          <w:b/>
          <w:bCs/>
          <w:lang w:val="es-ES_tradnl"/>
        </w:rPr>
      </w:pPr>
    </w:p>
    <w:p w:rsidR="009B547E" w:rsidRPr="00A71AC6" w:rsidRDefault="009B547E" w:rsidP="009B547E">
      <w:pPr>
        <w:jc w:val="center"/>
        <w:rPr>
          <w:b/>
          <w:bCs/>
          <w:lang w:val="es-ES_tradnl"/>
        </w:rPr>
      </w:pPr>
      <w:r w:rsidRPr="00A71AC6">
        <w:rPr>
          <w:b/>
          <w:bCs/>
          <w:lang w:val="es-ES_tradnl"/>
        </w:rPr>
        <w:t xml:space="preserve">PONENCIA PARA </w:t>
      </w:r>
      <w:r>
        <w:rPr>
          <w:b/>
          <w:bCs/>
          <w:lang w:val="es-ES_tradnl"/>
        </w:rPr>
        <w:t>SEGUNDO</w:t>
      </w:r>
      <w:r w:rsidRPr="00A71AC6">
        <w:rPr>
          <w:b/>
          <w:bCs/>
          <w:lang w:val="es-ES_tradnl"/>
        </w:rPr>
        <w:t xml:space="preserve"> DEBATE</w:t>
      </w:r>
    </w:p>
    <w:p w:rsidR="009B547E" w:rsidRPr="00A71AC6" w:rsidRDefault="009B547E" w:rsidP="009B547E">
      <w:pPr>
        <w:jc w:val="center"/>
        <w:rPr>
          <w:b/>
          <w:bCs/>
          <w:lang w:val="es-ES_tradnl"/>
        </w:rPr>
      </w:pPr>
      <w:r w:rsidRPr="00A71AC6">
        <w:rPr>
          <w:b/>
          <w:bCs/>
          <w:lang w:val="es-ES_tradnl"/>
        </w:rPr>
        <w:t>-Primera Vuelta-</w:t>
      </w:r>
    </w:p>
    <w:p w:rsidR="009B547E" w:rsidRPr="00A71AC6" w:rsidRDefault="009B547E" w:rsidP="009B547E">
      <w:pPr>
        <w:jc w:val="center"/>
        <w:rPr>
          <w:b/>
          <w:bCs/>
          <w:lang w:val="es-ES_tradnl"/>
        </w:rPr>
      </w:pPr>
    </w:p>
    <w:p w:rsidR="009B547E" w:rsidRPr="00A71AC6" w:rsidRDefault="009B547E" w:rsidP="009B547E">
      <w:pPr>
        <w:jc w:val="center"/>
        <w:rPr>
          <w:b/>
          <w:bCs/>
          <w:lang w:val="es-ES_tradnl"/>
        </w:rPr>
      </w:pPr>
      <w:r w:rsidRPr="00A71AC6">
        <w:rPr>
          <w:b/>
          <w:bCs/>
          <w:lang w:val="es-ES_tradnl"/>
        </w:rPr>
        <w:t xml:space="preserve">Proyecto de Acto Legislativo Nº 185 de 2022 Cámara </w:t>
      </w:r>
    </w:p>
    <w:p w:rsidR="009B547E" w:rsidRPr="00A71AC6" w:rsidRDefault="009B547E" w:rsidP="009B547E">
      <w:pPr>
        <w:jc w:val="center"/>
        <w:rPr>
          <w:b/>
          <w:bCs/>
          <w:lang w:val="es-ES_tradnl"/>
        </w:rPr>
      </w:pPr>
    </w:p>
    <w:p w:rsidR="009B547E" w:rsidRPr="00A71AC6" w:rsidRDefault="009B547E" w:rsidP="009B547E">
      <w:pPr>
        <w:jc w:val="center"/>
        <w:rPr>
          <w:lang w:val="es-ES_tradnl"/>
        </w:rPr>
      </w:pPr>
      <w:r w:rsidRPr="00A71AC6">
        <w:rPr>
          <w:b/>
          <w:bCs/>
          <w:lang w:val="es-ES_tradnl"/>
        </w:rPr>
        <w:t>“Por el cual se otorga al municipio de Manizales (Caldas) la categoría de Distrito Especial -Eje del conocimiento-“</w:t>
      </w:r>
    </w:p>
    <w:p w:rsidR="009B547E" w:rsidRPr="00A71AC6" w:rsidRDefault="009B547E" w:rsidP="009B547E">
      <w:pPr>
        <w:jc w:val="center"/>
        <w:rPr>
          <w:lang w:val="es-ES_tradnl"/>
        </w:rPr>
      </w:pPr>
    </w:p>
    <w:p w:rsidR="009B547E" w:rsidRPr="00A71AC6" w:rsidRDefault="009B547E" w:rsidP="009B547E">
      <w:pPr>
        <w:rPr>
          <w:lang w:val="es-ES_tradnl"/>
        </w:rPr>
      </w:pPr>
    </w:p>
    <w:p w:rsidR="009B547E" w:rsidRPr="00A71AC6" w:rsidRDefault="009B547E" w:rsidP="009B547E">
      <w:pPr>
        <w:pStyle w:val="Prrafodelista"/>
        <w:numPr>
          <w:ilvl w:val="0"/>
          <w:numId w:val="2"/>
        </w:numPr>
        <w:rPr>
          <w:b/>
          <w:bCs/>
          <w:lang w:val="es-ES_tradnl"/>
        </w:rPr>
      </w:pPr>
      <w:r w:rsidRPr="00A71AC6">
        <w:rPr>
          <w:b/>
          <w:bCs/>
          <w:lang w:val="es-ES_tradnl"/>
        </w:rPr>
        <w:t>Objeto:</w:t>
      </w:r>
    </w:p>
    <w:p w:rsidR="009B547E" w:rsidRPr="00A71AC6" w:rsidRDefault="009B547E" w:rsidP="009B547E">
      <w:pPr>
        <w:rPr>
          <w:lang w:val="es-ES_tradnl"/>
        </w:rPr>
      </w:pPr>
    </w:p>
    <w:p w:rsidR="009B547E" w:rsidRPr="00A71AC6" w:rsidRDefault="009B547E" w:rsidP="009B547E">
      <w:pPr>
        <w:jc w:val="both"/>
        <w:rPr>
          <w:lang w:val="es-ES_tradnl"/>
        </w:rPr>
      </w:pPr>
      <w:r w:rsidRPr="00A71AC6">
        <w:rPr>
          <w:lang w:val="es-ES_tradnl"/>
        </w:rPr>
        <w:t>Elevar la categoría de Manizales a Distrito Especial – Eje del conocimiento –, con el fin de ofrecer las herramientas constitucionales para la promoción y el desarrollo de la ciencia, la tecnología y la innovación, así como la creación de un fondo de desarrollo distrital, de economía mixta u otra figura establecida posteriormente por la ley, para el financiamiento de los proyectos de ciencia, tecnología e innovación.</w:t>
      </w:r>
    </w:p>
    <w:p w:rsidR="009B547E" w:rsidRPr="00A71AC6" w:rsidRDefault="009B547E" w:rsidP="009B547E">
      <w:pPr>
        <w:jc w:val="both"/>
        <w:rPr>
          <w:lang w:val="es-ES_tradnl"/>
        </w:rPr>
      </w:pPr>
    </w:p>
    <w:p w:rsidR="009B547E" w:rsidRPr="00A71AC6" w:rsidRDefault="009B547E" w:rsidP="009B547E">
      <w:pPr>
        <w:pStyle w:val="Prrafodelista"/>
        <w:numPr>
          <w:ilvl w:val="0"/>
          <w:numId w:val="2"/>
        </w:numPr>
        <w:jc w:val="both"/>
        <w:rPr>
          <w:b/>
          <w:bCs/>
          <w:lang w:val="es-ES_tradnl"/>
        </w:rPr>
      </w:pPr>
      <w:r w:rsidRPr="00A71AC6">
        <w:rPr>
          <w:b/>
          <w:bCs/>
          <w:lang w:val="es-ES_tradnl"/>
        </w:rPr>
        <w:t>Justificación:</w:t>
      </w:r>
    </w:p>
    <w:p w:rsidR="009B547E" w:rsidRPr="00A71AC6" w:rsidRDefault="009B547E" w:rsidP="009B547E">
      <w:pPr>
        <w:rPr>
          <w:lang w:val="es-ES_tradnl"/>
        </w:rPr>
      </w:pPr>
    </w:p>
    <w:p w:rsidR="009B547E" w:rsidRPr="00A71AC6" w:rsidRDefault="009B547E" w:rsidP="009B547E">
      <w:pPr>
        <w:jc w:val="both"/>
        <w:rPr>
          <w:lang w:val="es-ES_tradnl"/>
        </w:rPr>
      </w:pPr>
      <w:r w:rsidRPr="00A71AC6">
        <w:rPr>
          <w:lang w:val="es-ES_tradnl"/>
        </w:rPr>
        <w:t>Existen 3 grandes retos reconocidos por el Proyecto ‘Campus Manizales’, que justifican la propuesta de convertir a Manizales en Distrito Especial – Eje del Conocimiento:</w:t>
      </w:r>
    </w:p>
    <w:p w:rsidR="009B547E" w:rsidRPr="00A71AC6" w:rsidRDefault="009B547E" w:rsidP="009B547E">
      <w:pPr>
        <w:jc w:val="both"/>
        <w:rPr>
          <w:lang w:val="es-ES_tradnl"/>
        </w:rPr>
      </w:pPr>
    </w:p>
    <w:p w:rsidR="009B547E" w:rsidRPr="00A71AC6" w:rsidRDefault="009B547E" w:rsidP="009B547E">
      <w:pPr>
        <w:pStyle w:val="Prrafodelista"/>
        <w:numPr>
          <w:ilvl w:val="0"/>
          <w:numId w:val="3"/>
        </w:numPr>
        <w:jc w:val="both"/>
        <w:rPr>
          <w:lang w:val="es-ES_tradnl"/>
        </w:rPr>
      </w:pPr>
      <w:r w:rsidRPr="00A71AC6">
        <w:rPr>
          <w:lang w:val="es-ES_tradnl"/>
        </w:rPr>
        <w:t xml:space="preserve">Mejorar la conectividad de la población universitaria con los centros de estudio. </w:t>
      </w:r>
    </w:p>
    <w:p w:rsidR="009B547E" w:rsidRPr="00A71AC6" w:rsidRDefault="009B547E" w:rsidP="009B547E">
      <w:pPr>
        <w:pStyle w:val="Prrafodelista"/>
        <w:numPr>
          <w:ilvl w:val="0"/>
          <w:numId w:val="3"/>
        </w:numPr>
        <w:jc w:val="both"/>
        <w:rPr>
          <w:lang w:val="es-ES_tradnl"/>
        </w:rPr>
      </w:pPr>
      <w:r w:rsidRPr="00A71AC6">
        <w:rPr>
          <w:lang w:val="es-ES_tradnl"/>
        </w:rPr>
        <w:t>Transformar la movilidad de la ciudad según cánones de sostenibilidad medioambiental.</w:t>
      </w:r>
    </w:p>
    <w:p w:rsidR="009B547E" w:rsidRPr="00A71AC6" w:rsidRDefault="009B547E" w:rsidP="009B547E">
      <w:pPr>
        <w:pStyle w:val="Prrafodelista"/>
        <w:numPr>
          <w:ilvl w:val="0"/>
          <w:numId w:val="3"/>
        </w:numPr>
        <w:jc w:val="both"/>
        <w:rPr>
          <w:lang w:val="es-ES_tradnl"/>
        </w:rPr>
      </w:pPr>
      <w:r w:rsidRPr="00A71AC6">
        <w:rPr>
          <w:lang w:val="es-ES_tradnl"/>
        </w:rPr>
        <w:t>Transformar el espacio público para mejorar su apropiación por parte de la ciudadanía.</w:t>
      </w:r>
    </w:p>
    <w:p w:rsidR="009B547E" w:rsidRPr="00A71AC6" w:rsidRDefault="009B547E" w:rsidP="009B547E">
      <w:pPr>
        <w:jc w:val="both"/>
        <w:rPr>
          <w:lang w:val="es-ES_tradnl"/>
        </w:rPr>
      </w:pPr>
    </w:p>
    <w:p w:rsidR="009B547E" w:rsidRPr="00A71AC6" w:rsidRDefault="009B547E" w:rsidP="009B547E">
      <w:pPr>
        <w:jc w:val="both"/>
        <w:rPr>
          <w:b/>
          <w:bCs/>
          <w:lang w:val="es-ES_tradnl"/>
        </w:rPr>
      </w:pPr>
      <w:r w:rsidRPr="00A71AC6">
        <w:rPr>
          <w:b/>
          <w:bCs/>
          <w:lang w:val="es-ES_tradnl"/>
        </w:rPr>
        <w:t>Características de Manizales en el propósito de elevarla a la categoría de Distrito Especial:</w:t>
      </w: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Educación superior:</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La ciudad tiene una tasa de cobertura bruta en educación superior del 55,7%, casi dos puntos porcentuales por encima de la tasa nacional, mientras que la tasa de tránsito inmediato a educación superior se ubica en el 36.6%, por debajo del consolidado nacional.</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center"/>
        <w:rPr>
          <w:rFonts w:ascii="Arial" w:hAnsi="Arial" w:cs="Arial"/>
          <w:b/>
          <w:iCs/>
          <w:sz w:val="22"/>
          <w:szCs w:val="21"/>
          <w:lang w:val="es-ES_tradnl"/>
        </w:rPr>
      </w:pPr>
      <w:r w:rsidRPr="00A71AC6">
        <w:rPr>
          <w:rFonts w:ascii="Arial" w:hAnsi="Arial" w:cs="Arial"/>
          <w:b/>
          <w:iCs/>
          <w:sz w:val="22"/>
          <w:szCs w:val="21"/>
          <w:lang w:val="es-ES_tradnl"/>
        </w:rPr>
        <w:t>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08"/>
        <w:gridCol w:w="752"/>
        <w:gridCol w:w="752"/>
        <w:gridCol w:w="752"/>
        <w:gridCol w:w="752"/>
        <w:gridCol w:w="752"/>
        <w:gridCol w:w="752"/>
        <w:gridCol w:w="752"/>
      </w:tblGrid>
      <w:tr w:rsidR="009B547E" w:rsidRPr="00A71AC6" w:rsidTr="005A197B">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2015</w:t>
            </w:r>
          </w:p>
        </w:tc>
        <w:tc>
          <w:tcPr>
            <w:tcW w:w="0" w:type="auto"/>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2016</w:t>
            </w:r>
          </w:p>
        </w:tc>
        <w:tc>
          <w:tcPr>
            <w:tcW w:w="0" w:type="auto"/>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2017</w:t>
            </w:r>
          </w:p>
        </w:tc>
        <w:tc>
          <w:tcPr>
            <w:tcW w:w="0" w:type="auto"/>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2021</w:t>
            </w:r>
          </w:p>
        </w:tc>
      </w:tr>
      <w:tr w:rsidR="009B547E" w:rsidRPr="00A71AC6" w:rsidTr="005A197B">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Pregrado</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41.727</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44.326</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44.464</w:t>
            </w:r>
          </w:p>
        </w:tc>
        <w:tc>
          <w:tcPr>
            <w:tcW w:w="0" w:type="auto"/>
            <w:tcBorders>
              <w:top w:val="nil"/>
              <w:left w:val="nil"/>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45.407</w:t>
            </w:r>
          </w:p>
        </w:tc>
        <w:tc>
          <w:tcPr>
            <w:tcW w:w="0" w:type="auto"/>
            <w:tcBorders>
              <w:top w:val="nil"/>
              <w:left w:val="single" w:sz="4" w:space="0" w:color="808080"/>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44.542</w:t>
            </w:r>
          </w:p>
        </w:tc>
        <w:tc>
          <w:tcPr>
            <w:tcW w:w="0" w:type="auto"/>
            <w:tcBorders>
              <w:top w:val="nil"/>
              <w:left w:val="single" w:sz="4" w:space="0" w:color="808080"/>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41.764</w:t>
            </w:r>
          </w:p>
        </w:tc>
      </w:tr>
      <w:tr w:rsidR="009B547E" w:rsidRPr="00A71AC6" w:rsidTr="005A197B">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Posgrado</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4.864</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5.159</w:t>
            </w:r>
          </w:p>
        </w:tc>
        <w:tc>
          <w:tcPr>
            <w:tcW w:w="0" w:type="auto"/>
            <w:tcBorders>
              <w:top w:val="nil"/>
              <w:left w:val="nil"/>
              <w:bottom w:val="single" w:sz="4" w:space="0" w:color="808080"/>
              <w:right w:val="single" w:sz="4" w:space="0" w:color="808080"/>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5.693</w:t>
            </w:r>
          </w:p>
        </w:tc>
        <w:tc>
          <w:tcPr>
            <w:tcW w:w="0" w:type="auto"/>
            <w:tcBorders>
              <w:top w:val="nil"/>
              <w:left w:val="nil"/>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5.863</w:t>
            </w:r>
          </w:p>
        </w:tc>
        <w:tc>
          <w:tcPr>
            <w:tcW w:w="0" w:type="auto"/>
            <w:tcBorders>
              <w:top w:val="nil"/>
              <w:left w:val="single" w:sz="4" w:space="0" w:color="808080"/>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6.038</w:t>
            </w:r>
          </w:p>
        </w:tc>
        <w:tc>
          <w:tcPr>
            <w:tcW w:w="0" w:type="auto"/>
            <w:tcBorders>
              <w:top w:val="nil"/>
              <w:left w:val="single" w:sz="4" w:space="0" w:color="808080"/>
              <w:bottom w:val="single" w:sz="4" w:space="0" w:color="808080"/>
              <w:right w:val="nil"/>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rsidR="009B547E" w:rsidRPr="00A71AC6" w:rsidRDefault="009B547E" w:rsidP="005A197B">
            <w:pPr>
              <w:rPr>
                <w:rFonts w:ascii="Arial" w:eastAsia="Times New Roman" w:hAnsi="Arial" w:cs="Arial"/>
                <w:color w:val="000000"/>
                <w:sz w:val="20"/>
                <w:szCs w:val="20"/>
                <w:lang w:val="es-ES_tradnl"/>
              </w:rPr>
            </w:pPr>
            <w:r w:rsidRPr="00A71AC6">
              <w:rPr>
                <w:rFonts w:ascii="Arial" w:eastAsia="Times New Roman" w:hAnsi="Arial" w:cs="Arial"/>
                <w:color w:val="000000"/>
                <w:sz w:val="20"/>
                <w:szCs w:val="20"/>
                <w:lang w:val="es-ES_tradnl"/>
              </w:rPr>
              <w:t>4.707</w:t>
            </w:r>
          </w:p>
        </w:tc>
      </w:tr>
      <w:tr w:rsidR="009B547E" w:rsidRPr="00A71AC6" w:rsidTr="005A197B">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50.157</w:t>
            </w:r>
          </w:p>
        </w:tc>
        <w:tc>
          <w:tcPr>
            <w:tcW w:w="0" w:type="auto"/>
            <w:tcBorders>
              <w:top w:val="nil"/>
              <w:left w:val="nil"/>
              <w:bottom w:val="single" w:sz="8" w:space="0" w:color="3366CC"/>
              <w:right w:val="nil"/>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rsidR="009B547E" w:rsidRPr="00A71AC6" w:rsidRDefault="009B547E" w:rsidP="005A197B">
            <w:pPr>
              <w:rPr>
                <w:rFonts w:ascii="Arial" w:eastAsia="Times New Roman" w:hAnsi="Arial" w:cs="Arial"/>
                <w:b/>
                <w:bCs/>
                <w:color w:val="000000"/>
                <w:sz w:val="20"/>
                <w:szCs w:val="20"/>
                <w:lang w:val="es-ES_tradnl"/>
              </w:rPr>
            </w:pPr>
            <w:r w:rsidRPr="00A71AC6">
              <w:rPr>
                <w:rFonts w:ascii="Arial" w:eastAsia="Times New Roman" w:hAnsi="Arial" w:cs="Arial"/>
                <w:b/>
                <w:bCs/>
                <w:color w:val="000000"/>
                <w:sz w:val="20"/>
                <w:szCs w:val="20"/>
                <w:lang w:val="es-ES_tradnl"/>
              </w:rPr>
              <w:t>46.471</w:t>
            </w:r>
          </w:p>
        </w:tc>
      </w:tr>
    </w:tbl>
    <w:p w:rsidR="009B547E" w:rsidRPr="00A71AC6" w:rsidRDefault="009B547E" w:rsidP="009B547E">
      <w:pPr>
        <w:jc w:val="center"/>
        <w:rPr>
          <w:rStyle w:val="Referenciasutil"/>
          <w:rFonts w:ascii="Arial" w:hAnsi="Arial" w:cs="Arial"/>
          <w:sz w:val="16"/>
          <w:szCs w:val="16"/>
          <w:lang w:val="es-ES_tradnl"/>
        </w:rPr>
      </w:pPr>
      <w:r w:rsidRPr="00A71AC6">
        <w:rPr>
          <w:rStyle w:val="Referenciasutil"/>
          <w:rFonts w:ascii="Arial" w:hAnsi="Arial" w:cs="Arial"/>
          <w:sz w:val="16"/>
          <w:szCs w:val="16"/>
          <w:lang w:val="es-ES_tradnl"/>
        </w:rPr>
        <w:t>Fuente: MEN (SNIES)</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La ciudad es un destino importante para estudiantes de Nariño, Risaralda, Valle del Cauca y Tolima, especialmente. Estos cuatro departamentos participan con casi el 60% de la matrícula foránea.</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 xml:space="preserve">El departamento no solo se destaca por su vocación universitaria, sino también por brindar diversas oportunidades de formación a la población que opta por continuar con educación terciaria. </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La distribución muestra que, en el año 2021, en Caldas, de cada 100 estudiantes de educación superior, 69 fueron universitarios, 21 cursaron educación técnica o tecnológica y 10 cursaron un posgrado. Vale la pena mencionar que esta composición tiene una tendencia estructural con muy poca variación entre años.</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El departamento anualmente logra graduar un promedio de 10.500 estudiantes en todos los niveles de formación, reflejo de la vocación universitaria de la capital del departamento. El 75.5% de los graduados lo hicieron en pregrado y el 24.5% corresponde a graduados de posgrado.</w:t>
      </w: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Mercado laboral:</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El Departamento ha dado pasos importantes en aumentar el nivel de formación de su sociedad, logrando que la población económicamente activa aumente la proporción de personas con niveles de educación superior o universitaria en la última década.</w:t>
      </w:r>
    </w:p>
    <w:p w:rsidR="009B547E" w:rsidRPr="00A71AC6" w:rsidRDefault="009B547E" w:rsidP="009B547E">
      <w:pPr>
        <w:jc w:val="both"/>
        <w:rPr>
          <w:lang w:val="es-ES_tradnl"/>
        </w:rPr>
      </w:pPr>
    </w:p>
    <w:p w:rsidR="009B547E" w:rsidRDefault="009B547E" w:rsidP="009B547E">
      <w:pPr>
        <w:jc w:val="both"/>
        <w:rPr>
          <w:lang w:val="es-ES_tradnl"/>
        </w:rPr>
      </w:pPr>
      <w:r w:rsidRPr="00A71AC6">
        <w:rPr>
          <w:lang w:val="es-ES_tradnl"/>
        </w:rPr>
        <w:t>La tasa de vinculación al mercado laboral de recién graduados supera el 72% para graduados de programas de pregrado y sube progresivamente para graduados con especialización (87,6%), maestría (93,7%) y doctorado (96,7%). Sin embargo, para los tecnólogos es apenas del 56,7% y para los técnicos profesionales del 16,8%, según cifras de 2021.</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center"/>
        <w:rPr>
          <w:rFonts w:ascii="Arial" w:hAnsi="Arial" w:cs="Arial"/>
          <w:b/>
          <w:iCs/>
          <w:sz w:val="22"/>
          <w:szCs w:val="21"/>
          <w:lang w:val="es-ES_tradnl"/>
        </w:rPr>
      </w:pPr>
      <w:r w:rsidRPr="00A71AC6">
        <w:rPr>
          <w:rFonts w:ascii="Arial" w:hAnsi="Arial" w:cs="Arial"/>
          <w:b/>
          <w:iCs/>
          <w:sz w:val="22"/>
          <w:szCs w:val="21"/>
          <w:lang w:val="es-ES_tradnl"/>
        </w:rPr>
        <w:t>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985"/>
        <w:gridCol w:w="1138"/>
        <w:gridCol w:w="1139"/>
        <w:gridCol w:w="1139"/>
        <w:gridCol w:w="1139"/>
        <w:gridCol w:w="1139"/>
        <w:gridCol w:w="1139"/>
      </w:tblGrid>
      <w:tr w:rsidR="009B547E" w:rsidRPr="00A71AC6" w:rsidTr="005A197B">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rsidR="009B547E" w:rsidRPr="00A71AC6" w:rsidRDefault="009B547E" w:rsidP="005A197B">
            <w:pPr>
              <w:jc w:val="center"/>
              <w:rPr>
                <w:rFonts w:ascii="Arial" w:hAnsi="Arial" w:cs="Arial"/>
                <w:b/>
                <w:bCs/>
                <w:sz w:val="20"/>
                <w:szCs w:val="20"/>
                <w:lang w:val="es-ES_tradnl"/>
              </w:rPr>
            </w:pPr>
            <w:r w:rsidRPr="00A71AC6">
              <w:rPr>
                <w:rFonts w:ascii="Arial" w:hAnsi="Arial" w:cs="Arial"/>
                <w:b/>
                <w:bCs/>
                <w:sz w:val="20"/>
                <w:szCs w:val="20"/>
                <w:lang w:val="es-ES_tradnl"/>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2015</w:t>
            </w:r>
            <w:r w:rsidRPr="00A71AC6">
              <w:rPr>
                <w:rFonts w:ascii="Arial" w:hAnsi="Arial" w:cs="Arial"/>
                <w:b/>
                <w:bCs/>
                <w:sz w:val="16"/>
                <w:szCs w:val="16"/>
                <w:lang w:val="es-ES_tradnl"/>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2016</w:t>
            </w:r>
            <w:r w:rsidRPr="00A71AC6">
              <w:rPr>
                <w:rFonts w:ascii="Arial" w:hAnsi="Arial" w:cs="Arial"/>
                <w:b/>
                <w:bCs/>
                <w:sz w:val="16"/>
                <w:szCs w:val="16"/>
                <w:lang w:val="es-ES_tradnl"/>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2017</w:t>
            </w:r>
            <w:r w:rsidRPr="00A71AC6">
              <w:rPr>
                <w:rFonts w:ascii="Arial" w:hAnsi="Arial" w:cs="Arial"/>
                <w:b/>
                <w:bCs/>
                <w:sz w:val="16"/>
                <w:szCs w:val="16"/>
                <w:lang w:val="es-ES_tradnl"/>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2018</w:t>
            </w:r>
            <w:r w:rsidRPr="00A71AC6">
              <w:rPr>
                <w:rFonts w:ascii="Arial" w:hAnsi="Arial" w:cs="Arial"/>
                <w:b/>
                <w:bCs/>
                <w:sz w:val="16"/>
                <w:szCs w:val="16"/>
                <w:lang w:val="es-ES_tradnl"/>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2019</w:t>
            </w:r>
            <w:r w:rsidRPr="00A71AC6">
              <w:rPr>
                <w:rFonts w:ascii="Arial" w:hAnsi="Arial" w:cs="Arial"/>
                <w:b/>
                <w:bCs/>
                <w:sz w:val="16"/>
                <w:szCs w:val="16"/>
                <w:lang w:val="es-ES_tradnl"/>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rsidR="009B547E" w:rsidRPr="00A71AC6" w:rsidRDefault="009B547E" w:rsidP="005A197B">
            <w:pPr>
              <w:jc w:val="center"/>
              <w:rPr>
                <w:rFonts w:ascii="Arial" w:hAnsi="Arial" w:cs="Arial"/>
                <w:b/>
                <w:bCs/>
                <w:sz w:val="16"/>
                <w:szCs w:val="16"/>
                <w:lang w:val="es-ES_tradnl"/>
              </w:rPr>
            </w:pPr>
            <w:r w:rsidRPr="00A71AC6">
              <w:rPr>
                <w:rFonts w:ascii="Arial" w:hAnsi="Arial" w:cs="Arial"/>
                <w:b/>
                <w:bCs/>
                <w:sz w:val="16"/>
                <w:szCs w:val="16"/>
                <w:lang w:val="es-ES_tradnl"/>
              </w:rPr>
              <w:t>Vinculación 2020</w:t>
            </w:r>
            <w:r w:rsidRPr="00A71AC6">
              <w:rPr>
                <w:rFonts w:ascii="Arial" w:hAnsi="Arial" w:cs="Arial"/>
                <w:b/>
                <w:bCs/>
                <w:sz w:val="16"/>
                <w:szCs w:val="16"/>
                <w:lang w:val="es-ES_tradnl"/>
              </w:rPr>
              <w:br/>
              <w:t>(Graduados 2019)</w:t>
            </w:r>
          </w:p>
        </w:tc>
      </w:tr>
      <w:tr w:rsidR="009B547E" w:rsidRPr="00A71AC6" w:rsidTr="005A197B">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39,7%</w:t>
            </w:r>
          </w:p>
        </w:tc>
        <w:tc>
          <w:tcPr>
            <w:tcW w:w="665" w:type="pct"/>
            <w:tcBorders>
              <w:top w:val="nil"/>
              <w:left w:val="nil"/>
              <w:bottom w:val="single" w:sz="4" w:space="0" w:color="A6A6A6"/>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31,7%</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28,1%</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28,2%</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19,5%</w:t>
            </w:r>
          </w:p>
        </w:tc>
        <w:tc>
          <w:tcPr>
            <w:tcW w:w="665" w:type="pct"/>
            <w:tcBorders>
              <w:top w:val="nil"/>
              <w:left w:val="nil"/>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16,8%</w:t>
            </w:r>
          </w:p>
        </w:tc>
      </w:tr>
      <w:tr w:rsidR="009B547E" w:rsidRPr="00A71AC6" w:rsidTr="005A197B">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75,3%</w:t>
            </w:r>
          </w:p>
        </w:tc>
        <w:tc>
          <w:tcPr>
            <w:tcW w:w="665" w:type="pct"/>
            <w:tcBorders>
              <w:top w:val="nil"/>
              <w:left w:val="nil"/>
              <w:bottom w:val="single" w:sz="4" w:space="0" w:color="A6A6A6"/>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72,3%</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71,5%</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68,9%</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67,5%</w:t>
            </w:r>
          </w:p>
        </w:tc>
        <w:tc>
          <w:tcPr>
            <w:tcW w:w="665" w:type="pct"/>
            <w:tcBorders>
              <w:top w:val="nil"/>
              <w:left w:val="nil"/>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56,7%</w:t>
            </w:r>
          </w:p>
        </w:tc>
      </w:tr>
      <w:tr w:rsidR="009B547E" w:rsidRPr="00A71AC6" w:rsidTr="005A197B">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84,3%</w:t>
            </w:r>
          </w:p>
        </w:tc>
        <w:tc>
          <w:tcPr>
            <w:tcW w:w="665" w:type="pct"/>
            <w:tcBorders>
              <w:top w:val="nil"/>
              <w:left w:val="nil"/>
              <w:bottom w:val="single" w:sz="4" w:space="0" w:color="A6A6A6"/>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83,5%</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81,0%</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80,5%</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77,0%</w:t>
            </w:r>
          </w:p>
        </w:tc>
        <w:tc>
          <w:tcPr>
            <w:tcW w:w="665" w:type="pct"/>
            <w:tcBorders>
              <w:top w:val="nil"/>
              <w:left w:val="nil"/>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72,0%</w:t>
            </w:r>
          </w:p>
        </w:tc>
      </w:tr>
      <w:tr w:rsidR="009B547E" w:rsidRPr="00A71AC6" w:rsidTr="005A197B">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95,6%</w:t>
            </w:r>
          </w:p>
        </w:tc>
        <w:tc>
          <w:tcPr>
            <w:tcW w:w="665" w:type="pct"/>
            <w:tcBorders>
              <w:top w:val="nil"/>
              <w:left w:val="nil"/>
              <w:bottom w:val="single" w:sz="4" w:space="0" w:color="A6A6A6"/>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94,6%</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93,3%</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93,0%</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91,4%</w:t>
            </w:r>
          </w:p>
        </w:tc>
        <w:tc>
          <w:tcPr>
            <w:tcW w:w="665" w:type="pct"/>
            <w:tcBorders>
              <w:top w:val="nil"/>
              <w:left w:val="nil"/>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87,6%</w:t>
            </w:r>
          </w:p>
        </w:tc>
      </w:tr>
      <w:tr w:rsidR="009B547E" w:rsidRPr="00A71AC6" w:rsidTr="005A197B">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97,8%</w:t>
            </w:r>
          </w:p>
        </w:tc>
        <w:tc>
          <w:tcPr>
            <w:tcW w:w="665" w:type="pct"/>
            <w:tcBorders>
              <w:top w:val="nil"/>
              <w:left w:val="nil"/>
              <w:bottom w:val="single" w:sz="4" w:space="0" w:color="A6A6A6"/>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97,4%</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96,9%</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97,0%</w:t>
            </w:r>
          </w:p>
        </w:tc>
        <w:tc>
          <w:tcPr>
            <w:tcW w:w="665" w:type="pct"/>
            <w:tcBorders>
              <w:top w:val="nil"/>
              <w:left w:val="nil"/>
              <w:bottom w:val="single" w:sz="4" w:space="0" w:color="A6A6A6"/>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95,8%</w:t>
            </w:r>
          </w:p>
        </w:tc>
        <w:tc>
          <w:tcPr>
            <w:tcW w:w="665" w:type="pct"/>
            <w:tcBorders>
              <w:top w:val="nil"/>
              <w:left w:val="nil"/>
              <w:bottom w:val="single" w:sz="4" w:space="0" w:color="A6A6A6"/>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93,7%</w:t>
            </w:r>
          </w:p>
        </w:tc>
      </w:tr>
      <w:tr w:rsidR="009B547E" w:rsidRPr="00A71AC6" w:rsidTr="005A197B">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93,3%</w:t>
            </w:r>
          </w:p>
        </w:tc>
        <w:tc>
          <w:tcPr>
            <w:tcW w:w="665" w:type="pct"/>
            <w:tcBorders>
              <w:top w:val="nil"/>
              <w:left w:val="nil"/>
              <w:bottom w:val="single" w:sz="8" w:space="0" w:color="3366CC"/>
              <w:right w:val="nil"/>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100,0%</w:t>
            </w:r>
          </w:p>
        </w:tc>
        <w:tc>
          <w:tcPr>
            <w:tcW w:w="665" w:type="pct"/>
            <w:tcBorders>
              <w:top w:val="nil"/>
              <w:left w:val="nil"/>
              <w:bottom w:val="single" w:sz="8" w:space="0" w:color="3366CC"/>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98,0%</w:t>
            </w:r>
          </w:p>
        </w:tc>
        <w:tc>
          <w:tcPr>
            <w:tcW w:w="665" w:type="pct"/>
            <w:tcBorders>
              <w:top w:val="nil"/>
              <w:left w:val="nil"/>
              <w:bottom w:val="single" w:sz="8" w:space="0" w:color="3366CC"/>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82,9%</w:t>
            </w:r>
          </w:p>
        </w:tc>
        <w:tc>
          <w:tcPr>
            <w:tcW w:w="665" w:type="pct"/>
            <w:tcBorders>
              <w:top w:val="nil"/>
              <w:left w:val="nil"/>
              <w:bottom w:val="single" w:sz="8" w:space="0" w:color="3366CC"/>
              <w:right w:val="single" w:sz="4" w:space="0" w:color="A6A6A6"/>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98,4%</w:t>
            </w:r>
          </w:p>
        </w:tc>
        <w:tc>
          <w:tcPr>
            <w:tcW w:w="665" w:type="pct"/>
            <w:tcBorders>
              <w:top w:val="nil"/>
              <w:left w:val="nil"/>
              <w:bottom w:val="single" w:sz="8" w:space="0" w:color="3366CC"/>
              <w:right w:val="single" w:sz="8" w:space="0" w:color="3366CC"/>
            </w:tcBorders>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96,7%</w:t>
            </w:r>
          </w:p>
        </w:tc>
      </w:tr>
    </w:tbl>
    <w:p w:rsidR="009B547E" w:rsidRPr="00A71AC6" w:rsidRDefault="009B547E" w:rsidP="009B547E">
      <w:pPr>
        <w:rPr>
          <w:rFonts w:ascii="Arial" w:hAnsi="Arial" w:cs="Arial"/>
          <w:color w:val="808080" w:themeColor="background1" w:themeShade="80"/>
          <w:sz w:val="16"/>
          <w:szCs w:val="16"/>
          <w:lang w:val="es-ES_tradnl"/>
        </w:rPr>
      </w:pPr>
      <w:r w:rsidRPr="00A71AC6">
        <w:rPr>
          <w:rFonts w:ascii="Arial" w:hAnsi="Arial" w:cs="Arial"/>
          <w:color w:val="808080" w:themeColor="background1" w:themeShade="80"/>
          <w:sz w:val="16"/>
          <w:szCs w:val="16"/>
          <w:lang w:val="es-ES_tradnl"/>
        </w:rPr>
        <w:t>Fuente: MEN - OLE</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 xml:space="preserve">Los graduados con mayor nivel de cualificación tienen un ingreso base de cotización más </w:t>
      </w:r>
      <w:proofErr w:type="gramStart"/>
      <w:r w:rsidRPr="00A71AC6">
        <w:rPr>
          <w:lang w:val="es-ES_tradnl"/>
        </w:rPr>
        <w:t>alto</w:t>
      </w:r>
      <w:proofErr w:type="gramEnd"/>
      <w:r w:rsidRPr="00A71AC6">
        <w:rPr>
          <w:lang w:val="es-ES_tradnl"/>
        </w:rPr>
        <w:t>, no obstante, se observa que en 2020 este ingreso disminuyó.</w:t>
      </w:r>
    </w:p>
    <w:p w:rsidR="009B547E" w:rsidRPr="00A71AC6" w:rsidRDefault="009B547E" w:rsidP="009B547E">
      <w:pPr>
        <w:jc w:val="both"/>
        <w:rPr>
          <w:lang w:val="es-ES_tradnl"/>
        </w:rPr>
      </w:pPr>
    </w:p>
    <w:p w:rsidR="009B547E" w:rsidRPr="00A71AC6" w:rsidRDefault="009B547E" w:rsidP="009B547E">
      <w:pPr>
        <w:jc w:val="center"/>
        <w:rPr>
          <w:rFonts w:ascii="Arial" w:hAnsi="Arial" w:cs="Arial"/>
          <w:b/>
          <w:iCs/>
          <w:sz w:val="22"/>
          <w:szCs w:val="21"/>
          <w:lang w:val="es-ES_tradnl"/>
        </w:rPr>
      </w:pPr>
      <w:r w:rsidRPr="00A71AC6">
        <w:rPr>
          <w:rFonts w:ascii="Arial" w:hAnsi="Arial" w:cs="Arial"/>
          <w:b/>
          <w:iCs/>
          <w:sz w:val="22"/>
          <w:szCs w:val="21"/>
          <w:lang w:val="es-ES_tradnl"/>
        </w:rPr>
        <w:t>Ingresos Base de Cotización estimado de los recién graduados según máximo nivel de formación (2018 – 2020)</w:t>
      </w: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230"/>
        <w:gridCol w:w="2198"/>
        <w:gridCol w:w="2198"/>
        <w:gridCol w:w="2192"/>
      </w:tblGrid>
      <w:tr w:rsidR="009B547E" w:rsidRPr="00A71AC6" w:rsidTr="005A197B">
        <w:trPr>
          <w:trHeight w:val="1125"/>
          <w:tblHeader/>
          <w:jc w:val="center"/>
        </w:trPr>
        <w:tc>
          <w:tcPr>
            <w:tcW w:w="1264" w:type="pct"/>
            <w:shd w:val="clear" w:color="000000" w:fill="DDEBF7"/>
            <w:noWrap/>
            <w:vAlign w:val="center"/>
            <w:hideMark/>
          </w:tcPr>
          <w:p w:rsidR="009B547E" w:rsidRPr="00A71AC6" w:rsidRDefault="009B547E" w:rsidP="005A197B">
            <w:pPr>
              <w:rPr>
                <w:rFonts w:ascii="Arial" w:hAnsi="Arial" w:cs="Arial"/>
                <w:b/>
                <w:bCs/>
                <w:sz w:val="20"/>
                <w:szCs w:val="20"/>
                <w:lang w:val="es-ES_tradnl"/>
              </w:rPr>
            </w:pPr>
            <w:r w:rsidRPr="00A71AC6">
              <w:rPr>
                <w:rFonts w:ascii="Arial" w:hAnsi="Arial" w:cs="Arial"/>
                <w:b/>
                <w:bCs/>
                <w:sz w:val="20"/>
                <w:szCs w:val="20"/>
                <w:lang w:val="es-ES_tradnl"/>
              </w:rPr>
              <w:t>Nivel de Formación</w:t>
            </w:r>
          </w:p>
        </w:tc>
        <w:tc>
          <w:tcPr>
            <w:tcW w:w="1246" w:type="pct"/>
            <w:shd w:val="clear" w:color="000000" w:fill="DDEBF7"/>
            <w:vAlign w:val="center"/>
            <w:hideMark/>
          </w:tcPr>
          <w:p w:rsidR="009B547E" w:rsidRPr="00A71AC6" w:rsidRDefault="009B547E" w:rsidP="005A197B">
            <w:pPr>
              <w:rPr>
                <w:rFonts w:ascii="Arial" w:hAnsi="Arial" w:cs="Arial"/>
                <w:b/>
                <w:bCs/>
                <w:sz w:val="20"/>
                <w:szCs w:val="20"/>
                <w:lang w:val="es-ES_tradnl"/>
              </w:rPr>
            </w:pPr>
            <w:r w:rsidRPr="00A71AC6">
              <w:rPr>
                <w:rFonts w:ascii="Arial" w:hAnsi="Arial" w:cs="Arial"/>
                <w:b/>
                <w:bCs/>
                <w:sz w:val="20"/>
                <w:szCs w:val="20"/>
                <w:lang w:val="es-ES_tradnl"/>
              </w:rPr>
              <w:t>Vinculación 2018</w:t>
            </w:r>
            <w:r w:rsidRPr="00A71AC6">
              <w:rPr>
                <w:rFonts w:ascii="Arial" w:hAnsi="Arial" w:cs="Arial"/>
                <w:b/>
                <w:bCs/>
                <w:sz w:val="20"/>
                <w:szCs w:val="20"/>
                <w:lang w:val="es-ES_tradnl"/>
              </w:rPr>
              <w:br/>
              <w:t>(Graduados 2017)</w:t>
            </w:r>
          </w:p>
        </w:tc>
        <w:tc>
          <w:tcPr>
            <w:tcW w:w="1246" w:type="pct"/>
            <w:shd w:val="clear" w:color="000000" w:fill="DDEBF7"/>
            <w:vAlign w:val="center"/>
            <w:hideMark/>
          </w:tcPr>
          <w:p w:rsidR="009B547E" w:rsidRPr="00A71AC6" w:rsidRDefault="009B547E" w:rsidP="005A197B">
            <w:pPr>
              <w:rPr>
                <w:rFonts w:ascii="Arial" w:hAnsi="Arial" w:cs="Arial"/>
                <w:b/>
                <w:bCs/>
                <w:sz w:val="20"/>
                <w:szCs w:val="20"/>
                <w:lang w:val="es-ES_tradnl"/>
              </w:rPr>
            </w:pPr>
            <w:r w:rsidRPr="00A71AC6">
              <w:rPr>
                <w:rFonts w:ascii="Arial" w:hAnsi="Arial" w:cs="Arial"/>
                <w:b/>
                <w:bCs/>
                <w:sz w:val="20"/>
                <w:szCs w:val="20"/>
                <w:lang w:val="es-ES_tradnl"/>
              </w:rPr>
              <w:t>Vinculación 2019</w:t>
            </w:r>
            <w:r w:rsidRPr="00A71AC6">
              <w:rPr>
                <w:rFonts w:ascii="Arial" w:hAnsi="Arial" w:cs="Arial"/>
                <w:b/>
                <w:bCs/>
                <w:sz w:val="20"/>
                <w:szCs w:val="20"/>
                <w:lang w:val="es-ES_tradnl"/>
              </w:rPr>
              <w:br/>
              <w:t>(Graduados 2018)</w:t>
            </w:r>
          </w:p>
        </w:tc>
        <w:tc>
          <w:tcPr>
            <w:tcW w:w="1243" w:type="pct"/>
            <w:shd w:val="clear" w:color="000000" w:fill="DDEBF7"/>
            <w:vAlign w:val="center"/>
            <w:hideMark/>
          </w:tcPr>
          <w:p w:rsidR="009B547E" w:rsidRPr="00A71AC6" w:rsidRDefault="009B547E" w:rsidP="005A197B">
            <w:pPr>
              <w:rPr>
                <w:rFonts w:ascii="Arial" w:hAnsi="Arial" w:cs="Arial"/>
                <w:b/>
                <w:bCs/>
                <w:sz w:val="20"/>
                <w:szCs w:val="20"/>
                <w:lang w:val="es-ES_tradnl"/>
              </w:rPr>
            </w:pPr>
            <w:r w:rsidRPr="00A71AC6">
              <w:rPr>
                <w:rFonts w:ascii="Arial" w:hAnsi="Arial" w:cs="Arial"/>
                <w:b/>
                <w:bCs/>
                <w:sz w:val="20"/>
                <w:szCs w:val="20"/>
                <w:lang w:val="es-ES_tradnl"/>
              </w:rPr>
              <w:t>Vinculación 2020</w:t>
            </w:r>
            <w:r w:rsidRPr="00A71AC6">
              <w:rPr>
                <w:rFonts w:ascii="Arial" w:hAnsi="Arial" w:cs="Arial"/>
                <w:b/>
                <w:bCs/>
                <w:sz w:val="20"/>
                <w:szCs w:val="20"/>
                <w:lang w:val="es-ES_tradnl"/>
              </w:rPr>
              <w:br/>
              <w:t>(Graduados 2019)</w:t>
            </w:r>
          </w:p>
        </w:tc>
      </w:tr>
      <w:tr w:rsidR="009B547E" w:rsidRPr="00A71AC6" w:rsidTr="005A197B">
        <w:trPr>
          <w:trHeight w:val="375"/>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Técnica Profesional</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r>
      <w:tr w:rsidR="009B547E" w:rsidRPr="00A71AC6" w:rsidTr="005A197B">
        <w:trPr>
          <w:trHeight w:val="375"/>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Tecnológica</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 y 1,5 SMMLV</w:t>
            </w:r>
          </w:p>
        </w:tc>
      </w:tr>
      <w:tr w:rsidR="009B547E" w:rsidRPr="00A71AC6" w:rsidTr="005A197B">
        <w:trPr>
          <w:trHeight w:val="375"/>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Universitaria</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1,5 y 2 SMMLV</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1,5 y 2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1,5 y 2 SMMLV</w:t>
            </w:r>
          </w:p>
        </w:tc>
      </w:tr>
      <w:tr w:rsidR="009B547E" w:rsidRPr="00A71AC6" w:rsidTr="005A197B">
        <w:trPr>
          <w:trHeight w:val="375"/>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Especialización</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3 y 3,5 SMMLV</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2,5 y 3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2,5 y 3 SMMLV</w:t>
            </w:r>
          </w:p>
        </w:tc>
      </w:tr>
      <w:tr w:rsidR="009B547E" w:rsidRPr="00A71AC6" w:rsidTr="005A197B">
        <w:trPr>
          <w:trHeight w:val="375"/>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Maestría</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4 y 4,5 SMMLV</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4 y 4,5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3,5 y 4 SMMLV</w:t>
            </w:r>
          </w:p>
        </w:tc>
      </w:tr>
      <w:tr w:rsidR="009B547E" w:rsidRPr="00A71AC6" w:rsidTr="005A197B">
        <w:trPr>
          <w:trHeight w:val="390"/>
          <w:jc w:val="center"/>
        </w:trPr>
        <w:tc>
          <w:tcPr>
            <w:tcW w:w="1264"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Doctorado</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8 y 9 SMMLV </w:t>
            </w:r>
          </w:p>
        </w:tc>
        <w:tc>
          <w:tcPr>
            <w:tcW w:w="1246"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7 y 8 SMMLV</w:t>
            </w:r>
          </w:p>
        </w:tc>
        <w:tc>
          <w:tcPr>
            <w:tcW w:w="1243" w:type="pct"/>
            <w:shd w:val="clear" w:color="auto" w:fill="auto"/>
            <w:noWrap/>
            <w:vAlign w:val="center"/>
            <w:hideMark/>
          </w:tcPr>
          <w:p w:rsidR="009B547E" w:rsidRPr="00A71AC6" w:rsidRDefault="009B547E" w:rsidP="005A197B">
            <w:pPr>
              <w:rPr>
                <w:rFonts w:ascii="Arial" w:hAnsi="Arial" w:cs="Arial"/>
                <w:sz w:val="20"/>
                <w:szCs w:val="20"/>
                <w:lang w:val="es-ES_tradnl"/>
              </w:rPr>
            </w:pPr>
            <w:r w:rsidRPr="00A71AC6">
              <w:rPr>
                <w:rFonts w:ascii="Arial" w:hAnsi="Arial" w:cs="Arial"/>
                <w:sz w:val="20"/>
                <w:szCs w:val="20"/>
                <w:lang w:val="es-ES_tradnl"/>
              </w:rPr>
              <w:t>Entre 6 y 7 SMMLV</w:t>
            </w:r>
          </w:p>
        </w:tc>
      </w:tr>
    </w:tbl>
    <w:p w:rsidR="009B547E" w:rsidRDefault="009B547E" w:rsidP="009B547E">
      <w:pPr>
        <w:rPr>
          <w:rFonts w:ascii="Arial" w:hAnsi="Arial" w:cs="Arial"/>
          <w:color w:val="808080" w:themeColor="background1" w:themeShade="80"/>
          <w:sz w:val="16"/>
          <w:szCs w:val="16"/>
          <w:lang w:val="es-ES_tradnl"/>
        </w:rPr>
      </w:pPr>
      <w:r w:rsidRPr="00A71AC6">
        <w:rPr>
          <w:rFonts w:ascii="Arial" w:hAnsi="Arial" w:cs="Arial"/>
          <w:color w:val="808080" w:themeColor="background1" w:themeShade="80"/>
          <w:sz w:val="16"/>
          <w:szCs w:val="16"/>
          <w:lang w:val="es-ES_tradnl"/>
        </w:rPr>
        <w:t xml:space="preserve">Fuente: MEN </w:t>
      </w:r>
      <w:r>
        <w:rPr>
          <w:rFonts w:ascii="Arial" w:hAnsi="Arial" w:cs="Arial"/>
          <w:color w:val="808080" w:themeColor="background1" w:themeShade="80"/>
          <w:sz w:val="16"/>
          <w:szCs w:val="16"/>
          <w:lang w:val="es-ES_tradnl"/>
        </w:rPr>
        <w:t>–</w:t>
      </w:r>
      <w:r w:rsidRPr="00A71AC6">
        <w:rPr>
          <w:rFonts w:ascii="Arial" w:hAnsi="Arial" w:cs="Arial"/>
          <w:color w:val="808080" w:themeColor="background1" w:themeShade="80"/>
          <w:sz w:val="16"/>
          <w:szCs w:val="16"/>
          <w:lang w:val="es-ES_tradnl"/>
        </w:rPr>
        <w:t xml:space="preserve"> OLE</w:t>
      </w: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Default="009B547E" w:rsidP="009B547E">
      <w:pPr>
        <w:rPr>
          <w:rFonts w:ascii="Arial" w:hAnsi="Arial" w:cs="Arial"/>
          <w:color w:val="808080" w:themeColor="background1" w:themeShade="80"/>
          <w:sz w:val="16"/>
          <w:szCs w:val="16"/>
          <w:lang w:val="es-ES_tradnl"/>
        </w:rPr>
      </w:pPr>
    </w:p>
    <w:p w:rsidR="009B547E" w:rsidRPr="00A71AC6" w:rsidRDefault="009B547E" w:rsidP="009B547E">
      <w:pPr>
        <w:rPr>
          <w:rFonts w:ascii="Arial" w:hAnsi="Arial" w:cs="Arial"/>
          <w:color w:val="808080" w:themeColor="background1" w:themeShade="80"/>
          <w:sz w:val="16"/>
          <w:szCs w:val="16"/>
          <w:lang w:val="es-ES_tradnl"/>
        </w:rPr>
      </w:pP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Inversión en ciencia y tecnología:</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De acuerdo con el informe de resultados de la Fase I de la Misión de Sabios por Caldas- 2020-2021, la inversión en Ciencia, Tecnología e Innovación en Caldas aún es baja. A la fecha, el Ministerio de Ciencias reporta que del total de inversión nacional, Caldas tiene solamente un 0.5% en ciencia y tecnología.</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El Departamento de Caldas cuenta con 168 grupos de investigación que representan el 2.9% de los grupos de investigación registrados en el país, donde de los 630 investigadores reconocidos por el Ministerio de Ciencias en el departamento, 339 tienen doctorado, 205 maestría, 5 especialización médica, 9 especialización, y 12 pregrado.</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Para el año 2020, el Departamento contó con 30 patentes concedidas, 20 en concesión y 1 con diseño industrial, todas provenientes de Instituciones de Educación Superior.</w:t>
      </w: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Competitividad:</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A71AC6">
        <w:rPr>
          <w:lang w:val="es-ES_tradnl"/>
        </w:rPr>
        <w:t>publindex</w:t>
      </w:r>
      <w:proofErr w:type="spellEnd"/>
      <w:r w:rsidRPr="00A71AC6">
        <w:rPr>
          <w:lang w:val="es-ES_tradnl"/>
        </w:rPr>
        <w:t>, investigadores per cápita y modelos de utilidad.</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 xml:space="preserve">El </w:t>
      </w:r>
      <w:proofErr w:type="spellStart"/>
      <w:r w:rsidRPr="00A71AC6">
        <w:rPr>
          <w:lang w:val="es-ES_tradnl"/>
        </w:rPr>
        <w:t>subpilar</w:t>
      </w:r>
      <w:proofErr w:type="spellEnd"/>
      <w:r w:rsidRPr="00A71AC6">
        <w:rPr>
          <w:lang w:val="es-ES_tradnl"/>
        </w:rPr>
        <w:t xml:space="preserve">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w:t>
      </w:r>
      <w:proofErr w:type="spellStart"/>
      <w:r w:rsidRPr="00A71AC6">
        <w:rPr>
          <w:lang w:val="es-ES_tradnl"/>
        </w:rPr>
        <w:t>subpilar</w:t>
      </w:r>
      <w:proofErr w:type="spellEnd"/>
      <w:r w:rsidRPr="00A71AC6">
        <w:rPr>
          <w:lang w:val="es-ES_tradnl"/>
        </w:rPr>
        <w:t xml:space="preserve"> de investigación de alta calidad es sobresaliente, muestra de ello es que Bogotá registra un puntaje de 8,95, en el segundo lugar Caldas obtiene 6,42 y el 61 % de los departamentos están por debajo de 2,78.</w:t>
      </w:r>
    </w:p>
    <w:p w:rsidR="009B547E" w:rsidRPr="00A71AC6" w:rsidRDefault="009B547E" w:rsidP="009B547E">
      <w:pPr>
        <w:jc w:val="both"/>
        <w:rPr>
          <w:lang w:val="es-ES_tradnl"/>
        </w:rPr>
      </w:pPr>
    </w:p>
    <w:p w:rsidR="009B547E" w:rsidRDefault="009B547E" w:rsidP="009B547E">
      <w:pPr>
        <w:jc w:val="both"/>
        <w:rPr>
          <w:lang w:val="es-ES_tradnl"/>
        </w:rPr>
      </w:pPr>
      <w:r w:rsidRPr="00A71AC6">
        <w:rPr>
          <w:lang w:val="es-ES_tradnl"/>
        </w:rP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rsidRPr="00A71AC6">
        <w:rPr>
          <w:lang w:val="es-ES_tradnl"/>
        </w:rPr>
        <w:t>subpilar</w:t>
      </w:r>
      <w:proofErr w:type="spellEnd"/>
      <w:r w:rsidRPr="00A71AC6">
        <w:rPr>
          <w:lang w:val="es-ES_tradnl"/>
        </w:rP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roofErr w:type="gramStart"/>
      <w:r w:rsidRPr="00A71AC6">
        <w:rPr>
          <w:lang w:val="es-ES_tradnl"/>
        </w:rPr>
        <w:t>mismo</w:t>
      </w:r>
      <w:proofErr w:type="gramEnd"/>
      <w:r w:rsidRPr="00A71AC6">
        <w:rPr>
          <w:lang w:val="es-ES_tradnl"/>
        </w:rPr>
        <w:t>, se destaca en el indicador calidad de los docentes de educación superior, ocupando la tercera posición entre las 32 ciudades evaluadas.</w:t>
      </w: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Aprendizaje del Sistema Universitario de Manizales (SUMA):</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 xml:space="preserve">Otras iniciativas importantes de destacar en la ciudad es el Programa Universidad en Tu Colegio, a cargo de la Fundación </w:t>
      </w:r>
      <w:proofErr w:type="spellStart"/>
      <w:r w:rsidRPr="00A71AC6">
        <w:rPr>
          <w:lang w:val="es-ES_tradnl"/>
        </w:rPr>
        <w:t>Luker</w:t>
      </w:r>
      <w:proofErr w:type="spellEnd"/>
      <w:r w:rsidRPr="00A71AC6">
        <w:rPr>
          <w:lang w:val="es-ES_tradnl"/>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A71AC6">
        <w:rPr>
          <w:lang w:val="es-ES_tradnl"/>
        </w:rPr>
        <w:t>contrajornada</w:t>
      </w:r>
      <w:proofErr w:type="spellEnd"/>
      <w:r w:rsidRPr="00A71AC6">
        <w:rPr>
          <w:lang w:val="es-ES_tradnl"/>
        </w:rPr>
        <w:t xml:space="preserve"> en los colegios, pues los profesores universitarios se desplazan a éstos.</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rsidR="009B547E" w:rsidRPr="00A71AC6" w:rsidRDefault="009B547E" w:rsidP="009B547E">
      <w:pPr>
        <w:jc w:val="both"/>
        <w:rPr>
          <w:b/>
          <w:bCs/>
          <w:lang w:val="es-ES_tradnl"/>
        </w:rPr>
      </w:pPr>
    </w:p>
    <w:p w:rsidR="009B547E" w:rsidRPr="00A71AC6" w:rsidRDefault="009B547E" w:rsidP="009B547E">
      <w:pPr>
        <w:pStyle w:val="Prrafodelista"/>
        <w:numPr>
          <w:ilvl w:val="0"/>
          <w:numId w:val="1"/>
        </w:numPr>
        <w:jc w:val="both"/>
        <w:rPr>
          <w:b/>
          <w:bCs/>
          <w:lang w:val="es-ES_tradnl"/>
        </w:rPr>
      </w:pPr>
      <w:r w:rsidRPr="00A71AC6">
        <w:rPr>
          <w:b/>
          <w:bCs/>
          <w:lang w:val="es-ES_tradnl"/>
        </w:rPr>
        <w:t>Reconocimiento UNESCO de Manizales como ciudad del aprendizaje (2019):</w:t>
      </w:r>
    </w:p>
    <w:p w:rsidR="009B547E" w:rsidRPr="00A71AC6" w:rsidRDefault="009B547E" w:rsidP="009B547E">
      <w:pPr>
        <w:jc w:val="both"/>
        <w:rPr>
          <w:lang w:val="es-ES_tradnl"/>
        </w:rPr>
      </w:pPr>
    </w:p>
    <w:p w:rsidR="009B547E" w:rsidRDefault="009B547E" w:rsidP="009B547E">
      <w:pPr>
        <w:jc w:val="both"/>
        <w:rPr>
          <w:lang w:val="es-ES_tradnl"/>
        </w:rPr>
      </w:pPr>
      <w:r w:rsidRPr="00A71AC6">
        <w:rPr>
          <w:lang w:val="es-ES_tradnl"/>
        </w:rPr>
        <w:t>Manizales fue reconocida como una Ciudad del aprendizaje por la UNESCO, ya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pStyle w:val="Prrafodelista"/>
        <w:numPr>
          <w:ilvl w:val="0"/>
          <w:numId w:val="1"/>
        </w:numPr>
        <w:jc w:val="both"/>
        <w:rPr>
          <w:rFonts w:cstheme="minorHAnsi"/>
          <w:b/>
          <w:lang w:val="es-ES_tradnl"/>
        </w:rPr>
      </w:pPr>
      <w:r w:rsidRPr="00A71AC6">
        <w:rPr>
          <w:rFonts w:cstheme="minorHAnsi"/>
          <w:b/>
          <w:lang w:val="es-ES_tradnl"/>
        </w:rPr>
        <w:t xml:space="preserve">Propuesta del Presidente Gustavo </w:t>
      </w:r>
      <w:proofErr w:type="spellStart"/>
      <w:r w:rsidRPr="00A71AC6">
        <w:rPr>
          <w:rFonts w:cstheme="minorHAnsi"/>
          <w:b/>
          <w:lang w:val="es-ES_tradnl"/>
        </w:rPr>
        <w:t>Petro</w:t>
      </w:r>
      <w:proofErr w:type="spellEnd"/>
      <w:r w:rsidRPr="00A71AC6">
        <w:rPr>
          <w:rFonts w:cstheme="minorHAnsi"/>
          <w:b/>
          <w:lang w:val="es-ES_tradnl"/>
        </w:rPr>
        <w:t xml:space="preserve">: </w:t>
      </w:r>
    </w:p>
    <w:p w:rsidR="009B547E" w:rsidRPr="00A71AC6" w:rsidRDefault="009B547E" w:rsidP="009B547E">
      <w:pPr>
        <w:pStyle w:val="Prrafodelista"/>
        <w:jc w:val="both"/>
        <w:rPr>
          <w:rFonts w:cstheme="minorHAnsi"/>
          <w:b/>
          <w:lang w:val="es-ES_tradnl"/>
        </w:rPr>
      </w:pPr>
      <w:r w:rsidRPr="00A71AC6">
        <w:rPr>
          <w:rFonts w:cstheme="minorHAnsi"/>
          <w:b/>
          <w:lang w:val="es-ES_tradnl"/>
        </w:rPr>
        <w:t>Manizales: Ciudad cerebro de Colombia, para una sociedad y una economía del conocimiento:</w:t>
      </w:r>
    </w:p>
    <w:p w:rsidR="009B547E" w:rsidRPr="00A71AC6" w:rsidRDefault="009B547E" w:rsidP="009B547E">
      <w:pPr>
        <w:pStyle w:val="Prrafodelista"/>
        <w:jc w:val="both"/>
        <w:rPr>
          <w:rFonts w:cstheme="minorHAnsi"/>
          <w:b/>
          <w:lang w:val="es-ES_tradnl"/>
        </w:rPr>
      </w:pPr>
    </w:p>
    <w:p w:rsidR="009B547E" w:rsidRPr="00A71AC6" w:rsidRDefault="009B547E" w:rsidP="009B547E">
      <w:pPr>
        <w:pStyle w:val="NormalWeb"/>
        <w:spacing w:before="0" w:beforeAutospacing="0" w:after="150" w:afterAutospacing="0"/>
        <w:jc w:val="both"/>
        <w:rPr>
          <w:rFonts w:asciiTheme="minorHAnsi" w:hAnsiTheme="minorHAnsi" w:cstheme="minorHAnsi"/>
          <w:lang w:val="es-ES_tradnl"/>
        </w:rPr>
      </w:pPr>
      <w:r w:rsidRPr="00A71AC6">
        <w:rPr>
          <w:rFonts w:asciiTheme="minorHAnsi" w:hAnsiTheme="minorHAnsi" w:cstheme="minorHAnsi"/>
          <w:lang w:val="es-ES_tradnl"/>
        </w:rPr>
        <w:t xml:space="preserve">El pasado 3 de septiembre durante la visita del señor Presidente de la Republica, Dr. Gustavo </w:t>
      </w:r>
      <w:proofErr w:type="spellStart"/>
      <w:r w:rsidRPr="00A71AC6">
        <w:rPr>
          <w:rFonts w:asciiTheme="minorHAnsi" w:hAnsiTheme="minorHAnsi" w:cstheme="minorHAnsi"/>
          <w:lang w:val="es-ES_tradnl"/>
        </w:rPr>
        <w:t>Petro</w:t>
      </w:r>
      <w:proofErr w:type="spellEnd"/>
      <w:r w:rsidRPr="00A71AC6">
        <w:rPr>
          <w:rFonts w:asciiTheme="minorHAnsi" w:hAnsiTheme="minorHAnsi" w:cstheme="minorHAnsi"/>
          <w:lang w:val="es-ES_tradnl"/>
        </w:rPr>
        <w:t xml:space="preserve"> a la ciudad de Manizales, se planteó por parte de él, la posibilidad de que la capital Caldense fuera, según sus palabras: “el cerebro” de Colombia; para que de esta manera la ciudad girara en torno a una construcción de política pública educativa con los más altos estándares, enfocada al fortalecimiento de las ciencias del conocimiento y la construcción de una economía de innovación, emprendimiento y ciencia, que sirviera de ejemplo al país.</w:t>
      </w:r>
    </w:p>
    <w:p w:rsidR="009B547E" w:rsidRPr="00A71AC6" w:rsidRDefault="009B547E" w:rsidP="009B547E">
      <w:pPr>
        <w:pStyle w:val="NormalWeb"/>
        <w:spacing w:before="0" w:beforeAutospacing="0" w:after="150" w:afterAutospacing="0"/>
        <w:jc w:val="both"/>
        <w:rPr>
          <w:rFonts w:asciiTheme="minorHAnsi" w:hAnsiTheme="minorHAnsi" w:cstheme="minorHAnsi"/>
          <w:lang w:val="es-ES_tradnl"/>
        </w:rPr>
      </w:pPr>
      <w:r w:rsidRPr="00A71AC6">
        <w:rPr>
          <w:rFonts w:asciiTheme="minorHAnsi" w:hAnsiTheme="minorHAnsi" w:cstheme="minorHAnsi"/>
          <w:lang w:val="es-ES_tradnl"/>
        </w:rPr>
        <w:t xml:space="preserve">En Palabras del Señor Presidente se refiero así a esta idea: </w:t>
      </w:r>
      <w:r w:rsidRPr="00A71AC6">
        <w:rPr>
          <w:rFonts w:asciiTheme="minorHAnsi" w:hAnsiTheme="minorHAnsi" w:cstheme="minorHAnsi"/>
          <w:i/>
          <w:lang w:val="es-ES_tradnl"/>
        </w:rPr>
        <w:t xml:space="preserve">“Yo les propongo —lo discutirán ustedes en el proceso de diálogo regional— que esto sea como una misión (…) que conjugue el Estado, los sectores privados, el pueblo mismo, en un objetivo común, que es: Manizales cerebro de Colombia”.  </w:t>
      </w:r>
      <w:r w:rsidRPr="00A71AC6">
        <w:rPr>
          <w:rFonts w:asciiTheme="minorHAnsi" w:hAnsiTheme="minorHAnsi" w:cstheme="minorHAnsi"/>
          <w:lang w:val="es-ES_tradnl"/>
        </w:rPr>
        <w:t xml:space="preserve">Dijo el Mandatario en el marco del Diálogo Regional efectuado en la capital del departamento de Caldas. </w:t>
      </w:r>
    </w:p>
    <w:p w:rsidR="009B547E" w:rsidRPr="00A71AC6" w:rsidRDefault="009B547E" w:rsidP="009B547E">
      <w:pPr>
        <w:pStyle w:val="NormalWeb"/>
        <w:spacing w:before="0" w:beforeAutospacing="0" w:after="150" w:afterAutospacing="0"/>
        <w:jc w:val="both"/>
        <w:rPr>
          <w:rFonts w:asciiTheme="minorHAnsi" w:hAnsiTheme="minorHAnsi" w:cstheme="minorHAnsi"/>
          <w:b/>
          <w:lang w:val="es-ES_tradnl"/>
        </w:rPr>
      </w:pPr>
      <w:r w:rsidRPr="00A71AC6">
        <w:rPr>
          <w:rFonts w:asciiTheme="minorHAnsi" w:hAnsiTheme="minorHAnsi" w:cstheme="minorHAnsi"/>
          <w:lang w:val="es-ES_tradnl"/>
        </w:rPr>
        <w:t>De esta manera, y con base en la propuesta del Presidente, y en lo que seguro, girara las conversaciones de cara a la construcción del Plan Nacional de Desarrollo y su capítulo para Caldas y el eje cafetero, esta iniciativa es armónica y coherente con la planificación territorial que pretende aprovechar el potencial humano y las ventajas comparativas y competitivas que hacen de Manizales una ciudad universitaria con altas capacidades académicas y técnicas.</w:t>
      </w: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pStyle w:val="Prrafodelista"/>
        <w:numPr>
          <w:ilvl w:val="0"/>
          <w:numId w:val="2"/>
        </w:numPr>
        <w:jc w:val="both"/>
        <w:rPr>
          <w:b/>
          <w:bCs/>
          <w:lang w:val="es-ES_tradnl"/>
        </w:rPr>
      </w:pPr>
      <w:r w:rsidRPr="00A71AC6">
        <w:rPr>
          <w:b/>
          <w:bCs/>
          <w:lang w:val="es-ES_tradnl"/>
        </w:rPr>
        <w:t>Circunstancias o eventos que podrían generar un conflicto de interés – artículo 291 de la Ley 5 de 1992</w:t>
      </w:r>
    </w:p>
    <w:p w:rsidR="009B547E" w:rsidRPr="00A71AC6" w:rsidRDefault="009B547E" w:rsidP="009B547E">
      <w:pPr>
        <w:pBdr>
          <w:top w:val="nil"/>
          <w:left w:val="nil"/>
          <w:bottom w:val="nil"/>
          <w:right w:val="nil"/>
          <w:between w:val="nil"/>
        </w:pBdr>
        <w:spacing w:after="160" w:line="276" w:lineRule="auto"/>
        <w:rPr>
          <w:color w:val="000000" w:themeColor="text1"/>
          <w:highlight w:val="white"/>
          <w:lang w:val="es-ES_tradnl"/>
        </w:rPr>
      </w:pPr>
    </w:p>
    <w:p w:rsidR="009B547E" w:rsidRPr="00A71AC6" w:rsidRDefault="009B547E" w:rsidP="009B547E">
      <w:pPr>
        <w:jc w:val="both"/>
        <w:rPr>
          <w:lang w:val="es-ES_tradnl"/>
        </w:rPr>
      </w:pPr>
      <w:r w:rsidRPr="00A71AC6">
        <w:rPr>
          <w:lang w:val="es-ES_tradnl"/>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p>
    <w:p w:rsidR="009B547E" w:rsidRPr="00A71AC6" w:rsidRDefault="009B547E" w:rsidP="009B547E">
      <w:pPr>
        <w:jc w:val="both"/>
        <w:rPr>
          <w:lang w:val="es-ES_tradnl"/>
        </w:rPr>
      </w:pPr>
    </w:p>
    <w:p w:rsidR="009B547E" w:rsidRDefault="009B547E" w:rsidP="009B547E">
      <w:pPr>
        <w:jc w:val="both"/>
        <w:rPr>
          <w:lang w:val="es-ES_tradnl"/>
        </w:rPr>
      </w:pPr>
      <w:r w:rsidRPr="00A71AC6">
        <w:rPr>
          <w:lang w:val="es-ES_tradnl"/>
        </w:rPr>
        <w:t xml:space="preserve">A continuación, se pondrán de presente los criterios que la Ley 2003 de 2019 contempla para hacer el análisis frente a los posibles impedimentos que se puedan presentar en </w:t>
      </w: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Default="009B547E" w:rsidP="009B547E">
      <w:pPr>
        <w:jc w:val="both"/>
        <w:rPr>
          <w:lang w:val="es-ES_tradnl"/>
        </w:rPr>
      </w:pPr>
    </w:p>
    <w:p w:rsidR="009B547E" w:rsidRPr="00A71AC6" w:rsidRDefault="009B547E" w:rsidP="009B547E">
      <w:pPr>
        <w:jc w:val="both"/>
        <w:rPr>
          <w:lang w:val="es-ES_tradnl"/>
        </w:rPr>
      </w:pPr>
      <w:proofErr w:type="gramStart"/>
      <w:r w:rsidRPr="00A71AC6">
        <w:rPr>
          <w:lang w:val="es-ES_tradnl"/>
        </w:rPr>
        <w:t>razón</w:t>
      </w:r>
      <w:proofErr w:type="gramEnd"/>
      <w:r w:rsidRPr="00A71AC6">
        <w:rPr>
          <w:lang w:val="es-ES_tradnl"/>
        </w:rPr>
        <w:t xml:space="preserve"> a un conflicto de interés en el ejercicio de la función </w:t>
      </w:r>
      <w:proofErr w:type="spellStart"/>
      <w:r w:rsidRPr="00A71AC6">
        <w:rPr>
          <w:lang w:val="es-ES_tradnl"/>
        </w:rPr>
        <w:t>congresional</w:t>
      </w:r>
      <w:proofErr w:type="spellEnd"/>
      <w:r w:rsidRPr="00A71AC6">
        <w:rPr>
          <w:lang w:val="es-ES_tradnl"/>
        </w:rPr>
        <w:t xml:space="preserve">, entre ellas la legislativa. </w:t>
      </w:r>
    </w:p>
    <w:p w:rsidR="009B547E" w:rsidRPr="00A71AC6" w:rsidRDefault="009B547E" w:rsidP="009B547E">
      <w:pPr>
        <w:spacing w:before="280" w:after="280" w:line="276" w:lineRule="auto"/>
        <w:ind w:firstLine="720"/>
        <w:jc w:val="both"/>
        <w:rPr>
          <w:rFonts w:ascii="Calibri" w:hAnsi="Calibri" w:cs="Calibri"/>
          <w:b/>
          <w:i/>
          <w:color w:val="000000" w:themeColor="text1"/>
          <w:lang w:val="es-ES_tradnl"/>
        </w:rPr>
      </w:pPr>
      <w:r w:rsidRPr="00A71AC6">
        <w:rPr>
          <w:rFonts w:ascii="Calibri" w:hAnsi="Calibri" w:cs="Calibri"/>
          <w:b/>
          <w:color w:val="000000" w:themeColor="text1"/>
          <w:lang w:val="es-ES_tradnl"/>
        </w:rPr>
        <w:t>“</w:t>
      </w:r>
      <w:r w:rsidRPr="00A71AC6">
        <w:rPr>
          <w:rFonts w:ascii="Calibri" w:hAnsi="Calibri" w:cs="Calibri"/>
          <w:b/>
          <w:i/>
          <w:color w:val="000000" w:themeColor="text1"/>
          <w:lang w:val="es-ES_tradnl"/>
        </w:rPr>
        <w:t xml:space="preserve">Artículo 1º. El artículo </w:t>
      </w:r>
      <w:hyperlink r:id="rId8" w:anchor="286">
        <w:r w:rsidRPr="00A71AC6">
          <w:rPr>
            <w:rFonts w:ascii="Calibri" w:hAnsi="Calibri" w:cs="Calibri"/>
            <w:b/>
            <w:i/>
            <w:color w:val="000000" w:themeColor="text1"/>
            <w:u w:val="single"/>
            <w:lang w:val="es-ES_tradnl"/>
          </w:rPr>
          <w:t>286</w:t>
        </w:r>
      </w:hyperlink>
      <w:r w:rsidRPr="00A71AC6">
        <w:rPr>
          <w:rFonts w:ascii="Calibri" w:hAnsi="Calibri" w:cs="Calibri"/>
          <w:b/>
          <w:i/>
          <w:color w:val="000000" w:themeColor="text1"/>
          <w:lang w:val="es-ES_tradnl"/>
        </w:rPr>
        <w:t xml:space="preserve"> de la Ley 5 de 1992 quedará así:</w:t>
      </w:r>
    </w:p>
    <w:p w:rsidR="009B547E" w:rsidRPr="00A71AC6" w:rsidRDefault="009B547E" w:rsidP="009B547E">
      <w:pPr>
        <w:spacing w:before="280" w:after="280" w:line="276" w:lineRule="auto"/>
        <w:jc w:val="both"/>
        <w:rPr>
          <w:rFonts w:ascii="Calibri" w:hAnsi="Calibri" w:cs="Calibri"/>
          <w:i/>
          <w:color w:val="000000" w:themeColor="text1"/>
          <w:lang w:val="es-ES_tradnl"/>
        </w:rPr>
      </w:pPr>
      <w:r w:rsidRPr="00A71AC6">
        <w:rPr>
          <w:rFonts w:ascii="Calibri" w:hAnsi="Calibri" w:cs="Calibri"/>
          <w:i/>
          <w:color w:val="000000" w:themeColor="text1"/>
          <w:lang w:val="es-ES_tradnl"/>
        </w:rPr>
        <w:t>ARTÍCULO 286. Régimen de conflicto de interés de los congresistas. Todos los congresistas deberán declarar los conflictos De intereses que pudieran surgir en ejercicio de sus funciones.</w:t>
      </w:r>
    </w:p>
    <w:p w:rsidR="009B547E" w:rsidRPr="00A71AC6" w:rsidRDefault="009B547E" w:rsidP="009B547E">
      <w:pPr>
        <w:spacing w:before="280" w:after="280" w:line="276" w:lineRule="auto"/>
        <w:jc w:val="both"/>
        <w:rPr>
          <w:rFonts w:ascii="Calibri" w:hAnsi="Calibri" w:cs="Calibri"/>
          <w:i/>
          <w:color w:val="000000" w:themeColor="text1"/>
          <w:lang w:val="es-ES_tradnl"/>
        </w:rPr>
      </w:pPr>
      <w:r w:rsidRPr="00A71AC6">
        <w:rPr>
          <w:rFonts w:ascii="Calibri" w:hAnsi="Calibri" w:cs="Calibri"/>
          <w:i/>
          <w:color w:val="000000" w:themeColor="text1"/>
          <w:lang w:val="es-ES_tradnl"/>
        </w:rPr>
        <w:t>Se entiende como conflicto de interés una situación donde la discusión o votación de un proyecto de ley o acto legislativo o artículo, pueda resultar en un beneficio particular, actual y directo a favor del congresista.</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b) Beneficio actual: aquel que efectivamente se configura en las circunstancias presentes y existentes al momento en el que el congresista participa de la decisión.</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c) Beneficio directo: aquel que se produzca de forma específica respecto del congresista, de su cónyuge, compañero o compañera permanente, o parientes dentro del segundo grado de consanguinidad, segundo de afinidad o primero civil.</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Para todos los efectos se entiende que no hay conflicto de interés en las siguientes circunstancias:</w:t>
      </w:r>
    </w:p>
    <w:p w:rsidR="009B547E" w:rsidRPr="00A71AC6" w:rsidRDefault="009B547E" w:rsidP="009B547E">
      <w:pPr>
        <w:spacing w:before="280" w:after="280" w:line="276" w:lineRule="auto"/>
        <w:ind w:left="720"/>
        <w:jc w:val="both"/>
        <w:rPr>
          <w:rFonts w:ascii="Calibri" w:hAnsi="Calibri" w:cs="Calibri"/>
          <w:b/>
          <w:i/>
          <w:color w:val="000000" w:themeColor="text1"/>
          <w:u w:val="single"/>
          <w:lang w:val="es-ES_tradnl"/>
        </w:rPr>
      </w:pPr>
      <w:r w:rsidRPr="00A71AC6">
        <w:rPr>
          <w:rFonts w:ascii="Calibri" w:hAnsi="Calibri" w:cs="Calibri"/>
          <w:b/>
          <w:i/>
          <w:color w:val="000000" w:themeColor="text1"/>
          <w:u w:val="single"/>
          <w:lang w:val="es-ES_tradnl"/>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A71AC6">
        <w:rPr>
          <w:rFonts w:ascii="Calibri" w:hAnsi="Calibri" w:cs="Calibri"/>
          <w:b/>
          <w:i/>
          <w:color w:val="000000" w:themeColor="text1"/>
          <w:lang w:val="es-ES_tradnl"/>
        </w:rPr>
        <w:t xml:space="preserve"> (Negrilla propia)</w:t>
      </w:r>
    </w:p>
    <w:p w:rsidR="009B547E" w:rsidRDefault="009B547E" w:rsidP="009B547E">
      <w:pPr>
        <w:spacing w:before="280" w:after="280" w:line="276" w:lineRule="auto"/>
        <w:ind w:left="700" w:firstLine="20"/>
        <w:jc w:val="both"/>
        <w:rPr>
          <w:rFonts w:ascii="Calibri" w:hAnsi="Calibri" w:cs="Calibri"/>
          <w:i/>
          <w:color w:val="000000" w:themeColor="text1"/>
          <w:lang w:val="es-ES_tradnl"/>
        </w:rPr>
      </w:pPr>
      <w:r w:rsidRPr="00A71AC6">
        <w:rPr>
          <w:rFonts w:ascii="Calibri" w:hAnsi="Calibri" w:cs="Calibri"/>
          <w:i/>
          <w:color w:val="000000" w:themeColor="text1"/>
          <w:lang w:val="es-ES_tradnl"/>
        </w:rPr>
        <w:t>b) Cuando el beneficio podría o no configurarse para el congresista en el futuro.</w:t>
      </w:r>
    </w:p>
    <w:p w:rsidR="009B547E" w:rsidRDefault="009B547E" w:rsidP="009B547E">
      <w:pPr>
        <w:spacing w:before="280" w:after="280" w:line="276" w:lineRule="auto"/>
        <w:ind w:left="700" w:firstLine="20"/>
        <w:jc w:val="both"/>
        <w:rPr>
          <w:rFonts w:ascii="Calibri" w:hAnsi="Calibri" w:cs="Calibri"/>
          <w:i/>
          <w:color w:val="000000" w:themeColor="text1"/>
          <w:lang w:val="es-ES_tradnl"/>
        </w:rPr>
      </w:pPr>
    </w:p>
    <w:p w:rsidR="009B547E" w:rsidRDefault="009B547E" w:rsidP="009B547E">
      <w:pPr>
        <w:spacing w:before="280" w:after="280" w:line="276" w:lineRule="auto"/>
        <w:ind w:left="700" w:firstLine="20"/>
        <w:jc w:val="both"/>
        <w:rPr>
          <w:rFonts w:ascii="Calibri" w:hAnsi="Calibri" w:cs="Calibri"/>
          <w:i/>
          <w:color w:val="000000" w:themeColor="text1"/>
          <w:lang w:val="es-ES_tradnl"/>
        </w:rPr>
      </w:pPr>
    </w:p>
    <w:p w:rsidR="009B547E" w:rsidRPr="00A71AC6" w:rsidRDefault="009B547E" w:rsidP="009B547E">
      <w:pPr>
        <w:spacing w:before="280" w:after="280" w:line="276" w:lineRule="auto"/>
        <w:ind w:left="700" w:firstLine="20"/>
        <w:jc w:val="both"/>
        <w:rPr>
          <w:rFonts w:ascii="Calibri" w:hAnsi="Calibri" w:cs="Calibri"/>
          <w:i/>
          <w:color w:val="000000" w:themeColor="text1"/>
          <w:lang w:val="es-ES_tradnl"/>
        </w:rPr>
      </w:pP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9B547E" w:rsidRPr="00A71AC6" w:rsidRDefault="009B547E" w:rsidP="009B547E">
      <w:pPr>
        <w:spacing w:before="280" w:after="280" w:line="276" w:lineRule="auto"/>
        <w:ind w:left="720"/>
        <w:jc w:val="both"/>
        <w:rPr>
          <w:rFonts w:ascii="Calibri" w:hAnsi="Calibri" w:cs="Calibri"/>
          <w:i/>
          <w:color w:val="000000" w:themeColor="text1"/>
          <w:lang w:val="es-ES_tradnl"/>
        </w:rPr>
      </w:pPr>
      <w:r w:rsidRPr="00A71AC6">
        <w:rPr>
          <w:rFonts w:ascii="Calibri" w:hAnsi="Calibri" w:cs="Calibri"/>
          <w:i/>
          <w:color w:val="000000" w:themeColor="text1"/>
          <w:lang w:val="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9B547E" w:rsidRPr="00A71AC6" w:rsidRDefault="009B547E" w:rsidP="009B547E">
      <w:pPr>
        <w:spacing w:before="280" w:after="280" w:line="276" w:lineRule="auto"/>
        <w:ind w:left="720"/>
        <w:jc w:val="both"/>
        <w:rPr>
          <w:rFonts w:ascii="Calibri" w:hAnsi="Calibri" w:cs="Calibri"/>
          <w:color w:val="000000" w:themeColor="text1"/>
          <w:lang w:val="es-ES_tradnl"/>
        </w:rPr>
      </w:pPr>
      <w:r w:rsidRPr="00A71AC6">
        <w:rPr>
          <w:rFonts w:ascii="Calibri" w:hAnsi="Calibri" w:cs="Calibri"/>
          <w:i/>
          <w:color w:val="000000" w:themeColor="text1"/>
          <w:lang w:val="es-ES_tradnl"/>
        </w:rPr>
        <w:t xml:space="preserve">f) Cuando el congresista participa en la elección de otros servidores públicos mediante el voto secreto. Se exceptúan los casos en que se presenten inhabilidades referidas al parentesco con los candidatos (...)”. </w:t>
      </w:r>
      <w:r w:rsidRPr="00A71AC6">
        <w:rPr>
          <w:rFonts w:ascii="Calibri" w:hAnsi="Calibri" w:cs="Calibri"/>
          <w:color w:val="000000" w:themeColor="text1"/>
          <w:lang w:val="es-ES_tradnl"/>
        </w:rPr>
        <w:t>(Subrayado y negrilla fuera de texto).</w:t>
      </w:r>
      <w:bookmarkStart w:id="1" w:name="_kt0h2lohccae" w:colFirst="0" w:colLast="0"/>
      <w:bookmarkEnd w:id="1"/>
    </w:p>
    <w:p w:rsidR="009B547E" w:rsidRPr="00A71AC6" w:rsidRDefault="009B547E" w:rsidP="009B547E">
      <w:pPr>
        <w:spacing w:line="276" w:lineRule="auto"/>
        <w:jc w:val="both"/>
        <w:rPr>
          <w:rFonts w:ascii="Calibri" w:hAnsi="Calibri" w:cs="Calibri"/>
          <w:lang w:val="es-ES_tradnl"/>
        </w:rPr>
      </w:pPr>
      <w:r w:rsidRPr="00A71AC6">
        <w:rPr>
          <w:rFonts w:ascii="Calibri" w:hAnsi="Calibri" w:cs="Calibri"/>
          <w:lang w:val="es-ES_tradnl"/>
        </w:rPr>
        <w:t>En el mismo sentido, ha manifestado ya la Honorable Corte Constitucional, que el inevitable interés político que subyace a una reforma constitucional, al concurrir con los intereses generales, no configura un conflicto de interés:</w:t>
      </w:r>
    </w:p>
    <w:p w:rsidR="009B547E" w:rsidRPr="00A71AC6" w:rsidRDefault="009B547E" w:rsidP="009B547E">
      <w:pPr>
        <w:jc w:val="both"/>
        <w:rPr>
          <w:rFonts w:ascii="Calibri" w:hAnsi="Calibri" w:cs="Calibri"/>
          <w:lang w:val="es-ES_tradnl"/>
        </w:rPr>
      </w:pPr>
    </w:p>
    <w:p w:rsidR="009B547E" w:rsidRPr="00A71AC6" w:rsidRDefault="009B547E" w:rsidP="009B547E">
      <w:pPr>
        <w:jc w:val="both"/>
        <w:rPr>
          <w:rFonts w:ascii="Calibri" w:hAnsi="Calibri" w:cs="Calibri"/>
          <w:lang w:val="es-ES_tradnl"/>
        </w:rPr>
      </w:pPr>
      <w:r w:rsidRPr="00A71AC6">
        <w:rPr>
          <w:rFonts w:ascii="Calibri" w:hAnsi="Calibri" w:cs="Calibri"/>
          <w:lang w:val="es-ES_tradnl"/>
        </w:rPr>
        <w:t xml:space="preserve">En sentencia C 294 de 2021, estableció lo siguiente: </w:t>
      </w:r>
    </w:p>
    <w:p w:rsidR="009B547E" w:rsidRPr="00A71AC6"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r w:rsidRPr="00A71AC6">
        <w:rPr>
          <w:rFonts w:ascii="Calibri" w:hAnsi="Calibri" w:cs="Calibri"/>
          <w:i/>
          <w:lang w:val="es-ES_tradnl"/>
        </w:rPr>
        <w:t xml:space="preserve"> “La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w:t>
      </w:r>
    </w:p>
    <w:p w:rsidR="009B547E"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p>
    <w:p w:rsidR="009B547E" w:rsidRDefault="009B547E" w:rsidP="009B547E">
      <w:pPr>
        <w:spacing w:line="276" w:lineRule="auto"/>
        <w:jc w:val="both"/>
        <w:rPr>
          <w:rFonts w:ascii="Calibri" w:hAnsi="Calibri" w:cs="Calibri"/>
          <w:i/>
          <w:lang w:val="es-ES_tradnl"/>
        </w:rPr>
      </w:pPr>
    </w:p>
    <w:p w:rsidR="009B547E" w:rsidRPr="00A71AC6" w:rsidRDefault="009B547E" w:rsidP="009B547E">
      <w:pPr>
        <w:spacing w:line="276" w:lineRule="auto"/>
        <w:jc w:val="both"/>
        <w:rPr>
          <w:rFonts w:ascii="Calibri" w:hAnsi="Calibri" w:cs="Calibri"/>
          <w:i/>
          <w:lang w:val="es-ES_tradnl"/>
        </w:rPr>
      </w:pPr>
      <w:r w:rsidRPr="00A71AC6">
        <w:rPr>
          <w:rFonts w:ascii="Calibri" w:hAnsi="Calibri" w:cs="Calibri"/>
          <w:i/>
          <w:lang w:val="es-ES_tradnl"/>
        </w:rPr>
        <w:t>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rsidR="009B547E" w:rsidRPr="00A71AC6" w:rsidRDefault="009B547E" w:rsidP="009B547E">
      <w:pPr>
        <w:spacing w:line="276" w:lineRule="auto"/>
        <w:jc w:val="both"/>
        <w:rPr>
          <w:rFonts w:ascii="Calibri" w:hAnsi="Calibri" w:cs="Calibri"/>
          <w:i/>
          <w:lang w:val="es-ES_tradnl"/>
        </w:rPr>
      </w:pPr>
    </w:p>
    <w:p w:rsidR="009B547E" w:rsidRPr="00A71AC6" w:rsidRDefault="009B547E" w:rsidP="009B547E">
      <w:pPr>
        <w:spacing w:line="276" w:lineRule="auto"/>
        <w:jc w:val="both"/>
        <w:rPr>
          <w:rFonts w:ascii="Calibri" w:hAnsi="Calibri" w:cs="Calibri"/>
          <w:lang w:val="es-ES_tradnl"/>
        </w:rPr>
      </w:pPr>
      <w:r w:rsidRPr="00A71AC6">
        <w:rPr>
          <w:rFonts w:ascii="Calibri" w:hAnsi="Calibri" w:cs="Calibri"/>
          <w:lang w:val="es-ES_tradnl"/>
        </w:rPr>
        <w:t xml:space="preserve"> </w:t>
      </w:r>
      <w:r w:rsidRPr="00A71AC6">
        <w:rPr>
          <w:rFonts w:ascii="Calibri" w:hAnsi="Calibri" w:cs="Calibri"/>
          <w:color w:val="000000" w:themeColor="text1"/>
          <w:lang w:val="es-ES_tradnl"/>
        </w:rPr>
        <w:t xml:space="preserve">De lo anterior, y de manera meramente orientativa, se considera </w:t>
      </w:r>
      <w:r w:rsidRPr="00A71AC6">
        <w:rPr>
          <w:rFonts w:ascii="Calibri" w:hAnsi="Calibri" w:cs="Calibri"/>
          <w:b/>
          <w:color w:val="000000" w:themeColor="text1"/>
          <w:lang w:val="es-ES_tradnl"/>
        </w:rPr>
        <w:t>q</w:t>
      </w:r>
      <w:r w:rsidRPr="00A71AC6">
        <w:rPr>
          <w:rFonts w:ascii="Calibri" w:hAnsi="Calibri" w:cs="Calibri"/>
          <w:color w:val="000000" w:themeColor="text1"/>
          <w:lang w:val="es-ES_tradnl"/>
        </w:rPr>
        <w:t>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rsidR="009B547E" w:rsidRPr="00A71AC6" w:rsidRDefault="009B547E" w:rsidP="009B547E">
      <w:pPr>
        <w:rPr>
          <w:lang w:val="es-ES_tradnl"/>
        </w:rPr>
      </w:pPr>
    </w:p>
    <w:p w:rsidR="009B547E" w:rsidRPr="00A71AC6" w:rsidRDefault="009B547E" w:rsidP="009B547E">
      <w:pPr>
        <w:pStyle w:val="Prrafodelista"/>
        <w:numPr>
          <w:ilvl w:val="0"/>
          <w:numId w:val="2"/>
        </w:numPr>
        <w:jc w:val="both"/>
        <w:rPr>
          <w:b/>
          <w:bCs/>
          <w:lang w:val="es-ES_tradnl"/>
        </w:rPr>
      </w:pPr>
      <w:r w:rsidRPr="00A71AC6">
        <w:rPr>
          <w:b/>
          <w:bCs/>
          <w:lang w:val="es-ES_tradnl"/>
        </w:rPr>
        <w:t>Conclusión:</w:t>
      </w:r>
    </w:p>
    <w:p w:rsidR="009B547E" w:rsidRPr="00A71AC6" w:rsidRDefault="009B547E" w:rsidP="009B547E">
      <w:pPr>
        <w:jc w:val="both"/>
        <w:rPr>
          <w:lang w:val="es-ES_tradnl"/>
        </w:rPr>
      </w:pPr>
    </w:p>
    <w:p w:rsidR="009B547E"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rsidR="009B547E" w:rsidRPr="00A71AC6"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rsidR="009B547E" w:rsidRPr="00A71AC6" w:rsidRDefault="009B547E" w:rsidP="009B547E">
      <w:pPr>
        <w:spacing w:line="276" w:lineRule="auto"/>
        <w:jc w:val="both"/>
        <w:rPr>
          <w:rFonts w:ascii="Calibri" w:hAnsi="Calibri" w:cs="Calibri"/>
          <w:color w:val="000000" w:themeColor="text1"/>
          <w:lang w:val="es-ES_tradnl"/>
        </w:rPr>
      </w:pPr>
    </w:p>
    <w:p w:rsidR="009B547E" w:rsidRPr="009B547E"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rsidR="009B547E" w:rsidRPr="00A71AC6" w:rsidRDefault="009B547E" w:rsidP="009B547E">
      <w:pPr>
        <w:jc w:val="both"/>
        <w:rPr>
          <w:lang w:val="es-ES_tradnl"/>
        </w:rPr>
      </w:pPr>
    </w:p>
    <w:p w:rsidR="009B547E" w:rsidRPr="00A71AC6" w:rsidRDefault="009B547E" w:rsidP="009B547E">
      <w:pPr>
        <w:pStyle w:val="Prrafodelista"/>
        <w:numPr>
          <w:ilvl w:val="0"/>
          <w:numId w:val="2"/>
        </w:numPr>
        <w:jc w:val="both"/>
        <w:rPr>
          <w:b/>
          <w:bCs/>
          <w:lang w:val="es-ES_tradnl"/>
        </w:rPr>
      </w:pPr>
      <w:r w:rsidRPr="00A71AC6">
        <w:rPr>
          <w:b/>
          <w:bCs/>
          <w:lang w:val="es-ES_tradnl"/>
        </w:rPr>
        <w:t>Proposición:</w:t>
      </w:r>
    </w:p>
    <w:p w:rsidR="009B547E" w:rsidRPr="00A71AC6" w:rsidRDefault="009B547E" w:rsidP="009B547E">
      <w:pPr>
        <w:jc w:val="both"/>
        <w:rPr>
          <w:lang w:val="es-ES_tradnl"/>
        </w:rPr>
      </w:pPr>
    </w:p>
    <w:p w:rsidR="009B547E" w:rsidRPr="00A71AC6"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 xml:space="preserve">Con base en las consideraciones presentadas, solicito a la Honorable </w:t>
      </w:r>
      <w:r>
        <w:rPr>
          <w:rFonts w:ascii="Calibri" w:hAnsi="Calibri" w:cs="Calibri"/>
          <w:color w:val="000000" w:themeColor="text1"/>
          <w:lang w:val="es-ES_tradnl"/>
        </w:rPr>
        <w:t>Plenaria</w:t>
      </w:r>
      <w:r w:rsidRPr="00A71AC6">
        <w:rPr>
          <w:rFonts w:ascii="Calibri" w:hAnsi="Calibri" w:cs="Calibri"/>
          <w:color w:val="000000" w:themeColor="text1"/>
          <w:lang w:val="es-ES_tradnl"/>
        </w:rPr>
        <w:t xml:space="preserve"> </w:t>
      </w:r>
      <w:r>
        <w:rPr>
          <w:rFonts w:ascii="Calibri" w:hAnsi="Calibri" w:cs="Calibri"/>
          <w:color w:val="000000" w:themeColor="text1"/>
          <w:lang w:val="es-ES_tradnl"/>
        </w:rPr>
        <w:t>de la Cámara de Representantes</w:t>
      </w:r>
      <w:r w:rsidRPr="00A71AC6">
        <w:rPr>
          <w:rFonts w:ascii="Calibri" w:hAnsi="Calibri" w:cs="Calibri"/>
          <w:color w:val="000000" w:themeColor="text1"/>
          <w:lang w:val="es-ES_tradnl"/>
        </w:rPr>
        <w:t xml:space="preserve">, poner en consideración el informe de ponencia positiva </w:t>
      </w:r>
      <w:r>
        <w:rPr>
          <w:rFonts w:ascii="Calibri" w:hAnsi="Calibri" w:cs="Calibri"/>
          <w:color w:val="000000" w:themeColor="text1"/>
          <w:lang w:val="es-ES_tradnl"/>
        </w:rPr>
        <w:t xml:space="preserve">sin modificaciones </w:t>
      </w:r>
      <w:r w:rsidRPr="00A71AC6">
        <w:rPr>
          <w:rFonts w:ascii="Calibri" w:hAnsi="Calibri" w:cs="Calibri"/>
          <w:color w:val="000000" w:themeColor="text1"/>
          <w:lang w:val="es-ES_tradnl"/>
        </w:rPr>
        <w:t xml:space="preserve">que se presenta para el </w:t>
      </w:r>
      <w:r>
        <w:rPr>
          <w:rFonts w:ascii="Calibri" w:hAnsi="Calibri" w:cs="Calibri"/>
          <w:color w:val="000000" w:themeColor="text1"/>
          <w:lang w:val="es-ES_tradnl"/>
        </w:rPr>
        <w:t>segundo</w:t>
      </w:r>
      <w:r w:rsidRPr="00A71AC6">
        <w:rPr>
          <w:rFonts w:ascii="Calibri" w:hAnsi="Calibri" w:cs="Calibri"/>
          <w:color w:val="000000" w:themeColor="text1"/>
          <w:lang w:val="es-ES_tradnl"/>
        </w:rPr>
        <w:t xml:space="preserve"> debate del Proyecto de Acto Legislativo Nº 185 de 2022 Cámara -Primera Vuelta- “Por el cual se otorga al municipio de Manizales (Caldas) la categoría de Distrito Especial -Eje del conocimiento-“.</w:t>
      </w:r>
    </w:p>
    <w:p w:rsidR="009B547E" w:rsidRPr="00A71AC6"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Firma el Honorable Representante,</w:t>
      </w:r>
    </w:p>
    <w:p w:rsidR="009B547E" w:rsidRPr="00A71AC6"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color w:val="000000" w:themeColor="text1"/>
          <w:lang w:val="es-ES_tradnl"/>
        </w:rPr>
      </w:pPr>
    </w:p>
    <w:p w:rsidR="009B547E" w:rsidRPr="00A71AC6" w:rsidRDefault="009B547E" w:rsidP="009B547E">
      <w:pPr>
        <w:spacing w:line="276" w:lineRule="auto"/>
        <w:jc w:val="both"/>
        <w:rPr>
          <w:rFonts w:ascii="Calibri" w:hAnsi="Calibri" w:cs="Calibri"/>
          <w:b/>
          <w:color w:val="000000" w:themeColor="text1"/>
          <w:lang w:val="es-ES_tradnl"/>
        </w:rPr>
      </w:pPr>
      <w:r>
        <w:rPr>
          <w:rFonts w:ascii="Calibri" w:hAnsi="Calibri" w:cs="Calibri"/>
          <w:b/>
          <w:color w:val="000000" w:themeColor="text1"/>
          <w:lang w:val="es-ES_tradnl"/>
        </w:rPr>
        <w:t>_______________________________</w:t>
      </w:r>
    </w:p>
    <w:p w:rsidR="00917197" w:rsidRPr="00A71AC6" w:rsidRDefault="00917197" w:rsidP="00917197">
      <w:pPr>
        <w:jc w:val="both"/>
        <w:rPr>
          <w:b/>
          <w:bCs/>
          <w:lang w:val="es-ES_tradnl"/>
        </w:rPr>
      </w:pPr>
      <w:r>
        <w:rPr>
          <w:b/>
          <w:bCs/>
          <w:lang w:val="es-ES_tradnl"/>
        </w:rPr>
        <w:t>JUA</w:t>
      </w:r>
      <w:r w:rsidRPr="00A71AC6">
        <w:rPr>
          <w:b/>
          <w:bCs/>
          <w:lang w:val="es-ES_tradnl"/>
        </w:rPr>
        <w:t>N SEBA</w:t>
      </w:r>
      <w:r>
        <w:rPr>
          <w:b/>
          <w:bCs/>
          <w:lang w:val="es-ES_tradnl"/>
        </w:rPr>
        <w:t>STIÁN GÓ</w:t>
      </w:r>
      <w:r w:rsidRPr="00A71AC6">
        <w:rPr>
          <w:b/>
          <w:bCs/>
          <w:lang w:val="es-ES_tradnl"/>
        </w:rPr>
        <w:t>MEZ</w:t>
      </w:r>
      <w:r>
        <w:rPr>
          <w:b/>
          <w:bCs/>
          <w:lang w:val="es-ES_tradnl"/>
        </w:rPr>
        <w:t xml:space="preserve"> GONZALES</w:t>
      </w:r>
    </w:p>
    <w:p w:rsidR="009B547E" w:rsidRPr="00A71AC6" w:rsidRDefault="009B547E" w:rsidP="009B547E">
      <w:pPr>
        <w:spacing w:line="276" w:lineRule="auto"/>
        <w:jc w:val="both"/>
        <w:rPr>
          <w:rFonts w:ascii="Calibri" w:hAnsi="Calibri" w:cs="Calibri"/>
          <w:color w:val="000000" w:themeColor="text1"/>
          <w:lang w:val="es-ES_tradnl"/>
        </w:rPr>
      </w:pPr>
      <w:r w:rsidRPr="00A71AC6">
        <w:rPr>
          <w:rFonts w:ascii="Calibri" w:hAnsi="Calibri" w:cs="Calibri"/>
          <w:color w:val="000000" w:themeColor="text1"/>
          <w:lang w:val="es-ES_tradnl"/>
        </w:rPr>
        <w:t>Ponente</w:t>
      </w: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center"/>
        <w:rPr>
          <w:lang w:val="es-ES_tradnl"/>
        </w:rPr>
      </w:pPr>
    </w:p>
    <w:p w:rsidR="009B547E" w:rsidRPr="00A71AC6" w:rsidRDefault="009B547E" w:rsidP="009B547E">
      <w:pPr>
        <w:jc w:val="center"/>
        <w:rPr>
          <w:lang w:val="es-ES_tradnl"/>
        </w:rPr>
      </w:pPr>
    </w:p>
    <w:p w:rsidR="009B547E" w:rsidRPr="00A71AC6" w:rsidRDefault="009B547E" w:rsidP="009B547E">
      <w:pPr>
        <w:jc w:val="center"/>
        <w:rPr>
          <w:lang w:val="es-ES_tradnl"/>
        </w:rPr>
      </w:pPr>
    </w:p>
    <w:p w:rsidR="009B547E" w:rsidRPr="00A71AC6" w:rsidRDefault="009B547E" w:rsidP="009B547E">
      <w:pPr>
        <w:jc w:val="center"/>
        <w:rPr>
          <w:lang w:val="es-ES_tradnl"/>
        </w:rPr>
      </w:pPr>
    </w:p>
    <w:p w:rsidR="009B547E" w:rsidRPr="00A71AC6" w:rsidRDefault="009B547E" w:rsidP="009B547E">
      <w:pPr>
        <w:jc w:val="center"/>
        <w:rPr>
          <w:lang w:val="es-ES_tradnl"/>
        </w:rPr>
      </w:pPr>
    </w:p>
    <w:p w:rsidR="009B547E" w:rsidRDefault="009B547E" w:rsidP="009B547E">
      <w:pPr>
        <w:rPr>
          <w:b/>
          <w:bCs/>
          <w:lang w:val="es-ES_tradnl"/>
        </w:rPr>
      </w:pPr>
    </w:p>
    <w:p w:rsidR="009B547E" w:rsidRDefault="009B547E" w:rsidP="009B547E">
      <w:pPr>
        <w:rPr>
          <w:b/>
          <w:bCs/>
          <w:lang w:val="es-ES_tradnl"/>
        </w:rPr>
      </w:pPr>
    </w:p>
    <w:p w:rsidR="009B547E" w:rsidRDefault="009B547E" w:rsidP="009B547E">
      <w:pPr>
        <w:rPr>
          <w:b/>
          <w:bCs/>
          <w:lang w:val="es-ES_tradnl"/>
        </w:rPr>
      </w:pPr>
    </w:p>
    <w:p w:rsidR="009B547E" w:rsidRPr="00A71AC6" w:rsidRDefault="009B547E" w:rsidP="009B547E">
      <w:pPr>
        <w:rPr>
          <w:b/>
          <w:bCs/>
          <w:lang w:val="es-ES_tradnl"/>
        </w:rPr>
      </w:pPr>
    </w:p>
    <w:p w:rsidR="009B547E" w:rsidRPr="00A71AC6" w:rsidRDefault="009B547E" w:rsidP="009B547E">
      <w:pPr>
        <w:jc w:val="center"/>
        <w:rPr>
          <w:b/>
          <w:bCs/>
          <w:lang w:val="es-ES_tradnl"/>
        </w:rPr>
      </w:pPr>
      <w:r w:rsidRPr="00A71AC6">
        <w:rPr>
          <w:b/>
          <w:bCs/>
          <w:lang w:val="es-ES_tradnl"/>
        </w:rPr>
        <w:t xml:space="preserve">TEXTO PROPUESTO PARA </w:t>
      </w:r>
      <w:r>
        <w:rPr>
          <w:b/>
          <w:bCs/>
          <w:lang w:val="es-ES_tradnl"/>
        </w:rPr>
        <w:t>SEGUNDO</w:t>
      </w:r>
      <w:r w:rsidRPr="00A71AC6">
        <w:rPr>
          <w:b/>
          <w:bCs/>
          <w:lang w:val="es-ES_tradnl"/>
        </w:rPr>
        <w:t xml:space="preserve"> DEBATE</w:t>
      </w:r>
    </w:p>
    <w:p w:rsidR="009B547E" w:rsidRPr="00A71AC6" w:rsidRDefault="009B547E" w:rsidP="009B547E">
      <w:pPr>
        <w:jc w:val="center"/>
        <w:rPr>
          <w:b/>
          <w:bCs/>
          <w:lang w:val="es-ES_tradnl"/>
        </w:rPr>
      </w:pPr>
      <w:r w:rsidRPr="00A71AC6">
        <w:rPr>
          <w:b/>
          <w:bCs/>
          <w:lang w:val="es-ES_tradnl"/>
        </w:rPr>
        <w:t>PRIMERA VUELTA</w:t>
      </w:r>
    </w:p>
    <w:p w:rsidR="009B547E" w:rsidRPr="00A71AC6" w:rsidRDefault="009B547E" w:rsidP="009B547E">
      <w:pPr>
        <w:jc w:val="center"/>
        <w:rPr>
          <w:b/>
          <w:bCs/>
          <w:lang w:val="es-ES_tradnl"/>
        </w:rPr>
      </w:pPr>
    </w:p>
    <w:p w:rsidR="009B547E" w:rsidRPr="00A71AC6" w:rsidRDefault="009B547E" w:rsidP="009B547E">
      <w:pPr>
        <w:jc w:val="center"/>
        <w:rPr>
          <w:b/>
          <w:bCs/>
          <w:lang w:val="es-ES_tradnl"/>
        </w:rPr>
      </w:pPr>
      <w:r w:rsidRPr="00A71AC6">
        <w:rPr>
          <w:b/>
          <w:bCs/>
          <w:lang w:val="es-ES_tradnl"/>
        </w:rPr>
        <w:t xml:space="preserve">Proyecto de Acto Legislativo Nº 185 de 2022 Cámara </w:t>
      </w:r>
    </w:p>
    <w:p w:rsidR="009B547E" w:rsidRPr="00A71AC6" w:rsidRDefault="009B547E" w:rsidP="009B547E">
      <w:pPr>
        <w:jc w:val="center"/>
        <w:rPr>
          <w:b/>
          <w:bCs/>
          <w:lang w:val="es-ES_tradnl"/>
        </w:rPr>
      </w:pPr>
    </w:p>
    <w:p w:rsidR="009B547E" w:rsidRPr="00A71AC6" w:rsidRDefault="009B547E" w:rsidP="009B547E">
      <w:pPr>
        <w:jc w:val="center"/>
        <w:rPr>
          <w:b/>
          <w:bCs/>
          <w:lang w:val="es-ES_tradnl"/>
        </w:rPr>
      </w:pPr>
      <w:r w:rsidRPr="00A71AC6">
        <w:rPr>
          <w:b/>
          <w:bCs/>
          <w:lang w:val="es-ES_tradnl"/>
        </w:rPr>
        <w:t>Por el cual se otorga al municipio de Manizales (Caldas) la categoría de Distrito Especial -Eje del conocimiento-</w:t>
      </w:r>
    </w:p>
    <w:p w:rsidR="009B547E" w:rsidRPr="00A71AC6" w:rsidRDefault="009B547E" w:rsidP="009B547E">
      <w:pPr>
        <w:jc w:val="center"/>
        <w:rPr>
          <w:lang w:val="es-ES_tradnl"/>
        </w:rPr>
      </w:pPr>
    </w:p>
    <w:p w:rsidR="009B547E" w:rsidRPr="00A71AC6" w:rsidRDefault="009B547E" w:rsidP="009B547E">
      <w:pPr>
        <w:jc w:val="center"/>
        <w:rPr>
          <w:lang w:val="es-ES_tradnl"/>
        </w:rPr>
      </w:pPr>
    </w:p>
    <w:p w:rsidR="009B547E" w:rsidRPr="00A71AC6" w:rsidRDefault="009B547E" w:rsidP="009B547E">
      <w:pPr>
        <w:jc w:val="center"/>
        <w:rPr>
          <w:lang w:val="es-ES_tradnl"/>
        </w:rPr>
      </w:pPr>
      <w:r w:rsidRPr="00A71AC6">
        <w:rPr>
          <w:lang w:val="es-ES_tradnl"/>
        </w:rPr>
        <w:t>EL CONGRESO DE COLOMBIA</w:t>
      </w:r>
    </w:p>
    <w:p w:rsidR="009B547E" w:rsidRPr="00A71AC6" w:rsidRDefault="009B547E" w:rsidP="009B547E">
      <w:pPr>
        <w:jc w:val="center"/>
        <w:rPr>
          <w:lang w:val="es-ES_tradnl"/>
        </w:rPr>
      </w:pPr>
    </w:p>
    <w:p w:rsidR="009B547E" w:rsidRPr="00A71AC6" w:rsidRDefault="009B547E" w:rsidP="009B547E">
      <w:pPr>
        <w:jc w:val="center"/>
        <w:rPr>
          <w:lang w:val="es-ES_tradnl"/>
        </w:rPr>
      </w:pPr>
      <w:r w:rsidRPr="00A71AC6">
        <w:rPr>
          <w:lang w:val="es-ES_tradnl"/>
        </w:rPr>
        <w:t>DECRETA:</w:t>
      </w:r>
    </w:p>
    <w:p w:rsidR="009B547E" w:rsidRPr="00A71AC6" w:rsidRDefault="009B547E" w:rsidP="009B547E">
      <w:pPr>
        <w:jc w:val="center"/>
        <w:rPr>
          <w:lang w:val="es-ES_tradnl"/>
        </w:rPr>
      </w:pPr>
    </w:p>
    <w:p w:rsidR="009B547E" w:rsidRPr="00A71AC6" w:rsidRDefault="009B547E" w:rsidP="009B547E">
      <w:pPr>
        <w:jc w:val="both"/>
        <w:rPr>
          <w:lang w:val="es-ES_tradnl"/>
        </w:rPr>
      </w:pPr>
    </w:p>
    <w:p w:rsidR="009B547E" w:rsidRPr="00A71AC6" w:rsidRDefault="009B547E" w:rsidP="009B547E">
      <w:pPr>
        <w:jc w:val="both"/>
        <w:rPr>
          <w:b/>
          <w:bCs/>
          <w:lang w:val="es-ES_tradnl"/>
        </w:rPr>
      </w:pPr>
      <w:r w:rsidRPr="00A71AC6">
        <w:rPr>
          <w:b/>
          <w:bCs/>
          <w:lang w:val="es-ES_tradnl"/>
        </w:rPr>
        <w:t>Artículo 1º. Adiciónese el siguiente inciso al artículo 356 de la Constitución Política.</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lang w:val="es-ES_tradnl"/>
        </w:rPr>
        <w:t>La ciudad de Manizales se organiza como Distrito Especial –</w:t>
      </w:r>
      <w:r w:rsidRPr="00A71AC6">
        <w:rPr>
          <w:i/>
          <w:lang w:val="es-ES_tradnl"/>
        </w:rPr>
        <w:t>Eje del conocimiento</w:t>
      </w:r>
      <w:r w:rsidRPr="00A71AC6">
        <w:rPr>
          <w:lang w:val="es-ES_tradnl"/>
        </w:rPr>
        <w:t>-. Su régimen político y fiscal será el previsto en la Constitución y las leyes especiales que para el efecto se dicten.</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b/>
          <w:bCs/>
          <w:lang w:val="es-ES_tradnl"/>
        </w:rPr>
        <w:t>Artículo 2º. Adiciónese el siguiente parágrafo al artículo 356 de la Constitución Política:</w:t>
      </w:r>
    </w:p>
    <w:p w:rsidR="009B547E" w:rsidRPr="00A71AC6" w:rsidRDefault="009B547E" w:rsidP="009B547E">
      <w:pPr>
        <w:jc w:val="both"/>
        <w:rPr>
          <w:lang w:val="es-ES_tradnl"/>
        </w:rPr>
      </w:pPr>
      <w:r w:rsidRPr="00A71AC6">
        <w:rPr>
          <w:lang w:val="es-ES_tradnl"/>
        </w:rPr>
        <w:t>PARÁGRAFO 2. La ciudad de Manizales y las demás ciudades que se organicen como Distrito Especial Eje del Conocimiento, no estarán obligadas a efectuar ajustes administrativos que aumenten sus costos ni a dividir el territorio del distrito en localidades. La ley podrá crear mecanismos adicionales a los existentes para la promoción y el desarrollo del Distrito Especial, así como la creación de un fondo de desarrollo distrital para el financiamiento de los proyectos de ciencia, tecnología e innovación.</w:t>
      </w:r>
    </w:p>
    <w:p w:rsidR="009B547E" w:rsidRPr="00A71AC6" w:rsidRDefault="009B547E" w:rsidP="009B547E">
      <w:pPr>
        <w:jc w:val="both"/>
        <w:rPr>
          <w:lang w:val="es-ES_tradnl"/>
        </w:rPr>
      </w:pPr>
    </w:p>
    <w:p w:rsidR="009B547E" w:rsidRPr="00A71AC6" w:rsidRDefault="009B547E" w:rsidP="009B547E">
      <w:pPr>
        <w:jc w:val="both"/>
        <w:rPr>
          <w:lang w:val="es-ES_tradnl"/>
        </w:rPr>
      </w:pPr>
      <w:r w:rsidRPr="00A71AC6">
        <w:rPr>
          <w:b/>
          <w:bCs/>
          <w:lang w:val="es-ES_tradnl"/>
        </w:rPr>
        <w:t>Artículo 3º. Vigencia.</w:t>
      </w:r>
      <w:r w:rsidRPr="00A71AC6">
        <w:rPr>
          <w:lang w:val="es-ES_tradnl"/>
        </w:rPr>
        <w:t xml:space="preserve"> El presente Acto Legislativo rige a partir de su promulgación.</w:t>
      </w:r>
    </w:p>
    <w:p w:rsidR="009B547E" w:rsidRPr="00A71AC6" w:rsidRDefault="009B547E" w:rsidP="009B547E">
      <w:pPr>
        <w:jc w:val="both"/>
        <w:rPr>
          <w:lang w:val="es-ES_tradnl"/>
        </w:rPr>
      </w:pPr>
    </w:p>
    <w:p w:rsidR="009B547E" w:rsidRPr="00A71AC6" w:rsidRDefault="009B547E" w:rsidP="009B547E">
      <w:pPr>
        <w:jc w:val="center"/>
        <w:rPr>
          <w:lang w:val="es-ES_tradnl"/>
        </w:rPr>
      </w:pPr>
    </w:p>
    <w:p w:rsidR="009B547E" w:rsidRPr="00A71AC6" w:rsidRDefault="009B547E" w:rsidP="009B547E">
      <w:pPr>
        <w:jc w:val="both"/>
        <w:rPr>
          <w:lang w:val="es-ES_tradnl"/>
        </w:rPr>
      </w:pPr>
      <w:r w:rsidRPr="00A71AC6">
        <w:rPr>
          <w:lang w:val="es-ES_tradnl"/>
        </w:rPr>
        <w:t>Firma el Honorable Representante,</w:t>
      </w: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B547E" w:rsidP="009B547E">
      <w:pPr>
        <w:jc w:val="both"/>
        <w:rPr>
          <w:lang w:val="es-ES_tradnl"/>
        </w:rPr>
      </w:pPr>
    </w:p>
    <w:p w:rsidR="009B547E" w:rsidRPr="00A71AC6" w:rsidRDefault="00917197" w:rsidP="009B547E">
      <w:pPr>
        <w:jc w:val="both"/>
        <w:rPr>
          <w:b/>
          <w:bCs/>
          <w:lang w:val="es-ES_tradnl"/>
        </w:rPr>
      </w:pPr>
      <w:r>
        <w:rPr>
          <w:b/>
          <w:bCs/>
          <w:lang w:val="es-ES_tradnl"/>
        </w:rPr>
        <w:t>JUA</w:t>
      </w:r>
      <w:r w:rsidR="009B547E" w:rsidRPr="00A71AC6">
        <w:rPr>
          <w:b/>
          <w:bCs/>
          <w:lang w:val="es-ES_tradnl"/>
        </w:rPr>
        <w:t>N SEBA</w:t>
      </w:r>
      <w:r>
        <w:rPr>
          <w:b/>
          <w:bCs/>
          <w:lang w:val="es-ES_tradnl"/>
        </w:rPr>
        <w:t>STIÁN GÓ</w:t>
      </w:r>
      <w:r w:rsidR="009B547E" w:rsidRPr="00A71AC6">
        <w:rPr>
          <w:b/>
          <w:bCs/>
          <w:lang w:val="es-ES_tradnl"/>
        </w:rPr>
        <w:t>MEZ</w:t>
      </w:r>
      <w:r>
        <w:rPr>
          <w:b/>
          <w:bCs/>
          <w:lang w:val="es-ES_tradnl"/>
        </w:rPr>
        <w:t xml:space="preserve"> GONZALES</w:t>
      </w:r>
    </w:p>
    <w:p w:rsidR="009B547E" w:rsidRPr="00A71AC6" w:rsidRDefault="009B547E" w:rsidP="009B547E">
      <w:pPr>
        <w:jc w:val="both"/>
        <w:rPr>
          <w:lang w:val="es-ES_tradnl"/>
        </w:rPr>
      </w:pPr>
      <w:r w:rsidRPr="00A71AC6">
        <w:rPr>
          <w:lang w:val="es-ES_tradnl"/>
        </w:rPr>
        <w:t>Ponente</w:t>
      </w:r>
    </w:p>
    <w:p w:rsidR="00416DC4" w:rsidRDefault="00416DC4">
      <w:pPr>
        <w:rPr>
          <w:rFonts w:ascii="Verdana" w:eastAsia="Verdana" w:hAnsi="Verdana" w:cs="Verdana"/>
          <w:b/>
        </w:rPr>
      </w:pPr>
    </w:p>
    <w:sectPr w:rsidR="00416DC4">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44" w:rsidRDefault="00F21C44">
      <w:r>
        <w:separator/>
      </w:r>
    </w:p>
  </w:endnote>
  <w:endnote w:type="continuationSeparator" w:id="0">
    <w:p w:rsidR="00F21C44" w:rsidRDefault="00F2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C4" w:rsidRDefault="00EB5867">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-2118482</wp:posOffset>
          </wp:positionV>
          <wp:extent cx="7834392" cy="294327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4392" cy="2943273"/>
                  </a:xfrm>
                  <a:prstGeom prst="rect">
                    <a:avLst/>
                  </a:prstGeom>
                  <a:ln/>
                </pic:spPr>
              </pic:pic>
            </a:graphicData>
          </a:graphic>
        </wp:anchor>
      </w:drawing>
    </w:r>
  </w:p>
  <w:p w:rsidR="00416DC4" w:rsidRDefault="00416DC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44" w:rsidRDefault="00F21C44">
      <w:r>
        <w:separator/>
      </w:r>
    </w:p>
  </w:footnote>
  <w:footnote w:type="continuationSeparator" w:id="0">
    <w:p w:rsidR="00F21C44" w:rsidRDefault="00F2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C4" w:rsidRDefault="00EB5867">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-449325</wp:posOffset>
          </wp:positionV>
          <wp:extent cx="7796618" cy="192316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6618" cy="19231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4"/>
    <w:rsid w:val="00416DC4"/>
    <w:rsid w:val="00917197"/>
    <w:rsid w:val="009B547E"/>
    <w:rsid w:val="00B536DF"/>
    <w:rsid w:val="00EB5867"/>
    <w:rsid w:val="00F21C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0D01-7559-4B97-BDA0-47DD4184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8876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7668"/>
    <w:rPr>
      <w:rFonts w:ascii="Lucida Grande" w:hAnsi="Lucida Grande"/>
      <w:sz w:val="18"/>
      <w:szCs w:val="18"/>
    </w:rPr>
  </w:style>
  <w:style w:type="paragraph" w:styleId="Encabezado">
    <w:name w:val="header"/>
    <w:basedOn w:val="Normal"/>
    <w:link w:val="EncabezadoCar"/>
    <w:uiPriority w:val="99"/>
    <w:unhideWhenUsed/>
    <w:rsid w:val="002F710E"/>
    <w:pPr>
      <w:tabs>
        <w:tab w:val="center" w:pos="4419"/>
        <w:tab w:val="right" w:pos="8838"/>
      </w:tabs>
    </w:pPr>
  </w:style>
  <w:style w:type="character" w:customStyle="1" w:styleId="EncabezadoCar">
    <w:name w:val="Encabezado Car"/>
    <w:basedOn w:val="Fuentedeprrafopredeter"/>
    <w:link w:val="Encabezado"/>
    <w:uiPriority w:val="99"/>
    <w:rsid w:val="002F710E"/>
  </w:style>
  <w:style w:type="paragraph" w:styleId="Piedepgina">
    <w:name w:val="footer"/>
    <w:basedOn w:val="Normal"/>
    <w:link w:val="PiedepginaCar"/>
    <w:uiPriority w:val="99"/>
    <w:unhideWhenUsed/>
    <w:rsid w:val="002F710E"/>
    <w:pPr>
      <w:tabs>
        <w:tab w:val="center" w:pos="4419"/>
        <w:tab w:val="right" w:pos="8838"/>
      </w:tabs>
    </w:pPr>
  </w:style>
  <w:style w:type="character" w:customStyle="1" w:styleId="PiedepginaCar">
    <w:name w:val="Pie de página Car"/>
    <w:basedOn w:val="Fuentedeprrafopredeter"/>
    <w:link w:val="Piedepgina"/>
    <w:uiPriority w:val="99"/>
    <w:rsid w:val="002F710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B547E"/>
    <w:pPr>
      <w:ind w:left="720"/>
      <w:contextualSpacing/>
    </w:pPr>
    <w:rPr>
      <w:rFonts w:asciiTheme="minorHAnsi" w:eastAsiaTheme="minorEastAsia" w:hAnsiTheme="minorHAnsi" w:cstheme="minorBidi"/>
      <w:lang w:eastAsia="zh-CN"/>
    </w:rPr>
  </w:style>
  <w:style w:type="character" w:styleId="Referenciasutil">
    <w:name w:val="Subtle Reference"/>
    <w:basedOn w:val="CitaHTML"/>
    <w:uiPriority w:val="31"/>
    <w:qFormat/>
    <w:rsid w:val="009B547E"/>
    <w:rPr>
      <w:rFonts w:ascii="Tahoma" w:hAnsi="Tahoma"/>
      <w:i/>
      <w:iCs/>
      <w:smallCaps/>
      <w:color w:val="5A5A5A" w:themeColor="text1" w:themeTint="A5"/>
      <w:sz w:val="20"/>
    </w:rPr>
  </w:style>
  <w:style w:type="paragraph" w:styleId="NormalWeb">
    <w:name w:val="Normal (Web)"/>
    <w:basedOn w:val="Normal"/>
    <w:uiPriority w:val="99"/>
    <w:unhideWhenUsed/>
    <w:rsid w:val="009B547E"/>
    <w:pPr>
      <w:spacing w:before="100" w:beforeAutospacing="1" w:after="100" w:afterAutospacing="1"/>
    </w:pPr>
    <w:rPr>
      <w:rFonts w:ascii="Times New Roman" w:eastAsia="Times New Roman" w:hAnsi="Times New Roman" w:cs="Times New Roman"/>
    </w:rPr>
  </w:style>
  <w:style w:type="character" w:styleId="CitaHTML">
    <w:name w:val="HTML Cite"/>
    <w:basedOn w:val="Fuentedeprrafopredeter"/>
    <w:uiPriority w:val="99"/>
    <w:semiHidden/>
    <w:unhideWhenUsed/>
    <w:rsid w:val="009B5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iJrHWfYrxGOKLaqXQhAMmRmUA==">AMUW2mW6n8SEg3XAZ3JNYUkRQCfYzNcbb+Lfa5AOKY4AORmwH8sQGqGoN+xLpdw2tbQYA21IcFF81nnvLOUFd+r169NooyePLdPM6Omj13Agf6i7Qvk6Cr0=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3552</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Armando</dc:creator>
  <cp:lastModifiedBy>Paola Marcela Onatra Erazo</cp:lastModifiedBy>
  <cp:revision>2</cp:revision>
  <cp:lastPrinted>2022-10-25T15:15:00Z</cp:lastPrinted>
  <dcterms:created xsi:type="dcterms:W3CDTF">2022-10-25T15:42:00Z</dcterms:created>
  <dcterms:modified xsi:type="dcterms:W3CDTF">2022-10-25T15:42:00Z</dcterms:modified>
</cp:coreProperties>
</file>